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line="300" w:lineRule="auto"/>
        <w:jc w:val="center"/>
        <w:widowControl w:val="1"/>
      </w:pPr>
      <w:r>
        <w:rPr>
          <w:rFonts w:ascii="Calibri" w:hAnsi="Calibri"/>
          <w:b/>
          <w:i w:val="0"/>
          <w:color w:val="C28A2E"/>
          <w:sz w:val="20"/>
        </w:rPr>
        <w:t>МЕТОДИЧЕСКОЕ РУКОВОДСТВО</w:t>
      </w:r>
    </w:p>
    <w:p>
      <w:pPr>
        <w:spacing w:after="200" w:line="300" w:lineRule="auto"/>
        <w:jc w:val="center"/>
        <w:widowControl w:val="1"/>
      </w:pPr>
      <w:r>
        <w:rPr>
          <w:rFonts w:ascii="Calibri" w:hAnsi="Calibri"/>
          <w:b/>
          <w:i w:val="0"/>
          <w:color w:val="1F4D78"/>
          <w:sz w:val="54"/>
        </w:rPr>
        <w:t>Запуск, контроль качества</w:t>
        <w:br/>
        <w:t>и передача AI-решений</w:t>
      </w:r>
    </w:p>
    <w:p>
      <w:pPr>
        <w:spacing w:after="680" w:line="300" w:lineRule="auto"/>
        <w:jc w:val="center"/>
        <w:widowControl w:val="1"/>
      </w:pPr>
      <w:r>
        <w:rPr>
          <w:rFonts w:ascii="Calibri" w:hAnsi="Calibri"/>
          <w:b w:val="0"/>
          <w:i/>
          <w:color w:val="2E74B5"/>
          <w:sz w:val="26"/>
        </w:rPr>
        <w:t>Универсальная практическая методика от готовности к пилоту до промышленной эксплуатации и сопровождения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4F8FB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 xml:space="preserve">Назначение. </w:t>
            </w:r>
            <w:r>
              <w:rPr>
                <w:rFonts w:ascii="Calibri" w:hAnsi="Calibri"/>
                <w:b w:val="0"/>
                <w:i w:val="0"/>
                <w:sz w:val="22"/>
              </w:rPr>
              <w:t>Для AI-архитекторов, проектных менеджеров, интеграторов, владельцев процессов, специалистов качества, IT и информационной безопасности.</w:t>
            </w:r>
          </w:p>
        </w:tc>
      </w:tr>
    </w:tbl>
    <w:p>
      <w:pPr>
        <w:spacing w:after="40"/>
        <w:widowControl w:val="1"/>
      </w:pPr>
    </w:p>
    <w:p>
      <w:pPr>
        <w:spacing w:after="400" w:line="300" w:lineRule="auto"/>
        <w:jc w:val="center"/>
        <w:widowControl w:val="1"/>
      </w:pPr>
      <w:r>
        <w:rPr>
          <w:rFonts w:ascii="Calibri" w:hAnsi="Calibri"/>
          <w:b w:val="0"/>
          <w:i w:val="0"/>
          <w:color w:val="666666"/>
          <w:sz w:val="20"/>
        </w:rPr>
        <w:t>Область применения: корпоративные ассистенты, RAG-системы, интеллектуальная обработка документов, клиентский сервис, аналитика и контролируемые AI-агенты.</w:t>
      </w:r>
    </w:p>
    <w:p>
      <w:pPr>
        <w:spacing w:after="120" w:line="300" w:lineRule="auto"/>
        <w:jc w:val="center"/>
        <w:widowControl w:val="1"/>
      </w:pPr>
      <w:r>
        <w:rPr>
          <w:rFonts w:ascii="Calibri" w:hAnsi="Calibri"/>
          <w:b/>
          <w:i w:val="0"/>
          <w:sz w:val="20"/>
        </w:rPr>
        <w:t>Дата редакции: 28 августа 2026 года</w:t>
      </w:r>
    </w:p>
    <w:p>
      <w:pPr>
        <w:widowControl w:val="1"/>
      </w:pPr>
      <w:r>
        <w:br w:type="page"/>
      </w:r>
    </w:p>
    <w:p>
      <w:pPr>
        <w:pStyle w:val="Heading1"/>
        <w:widowControl w:val="1"/>
      </w:pPr>
      <w:r>
        <w:t>Аннотация</w:t>
      </w:r>
    </w:p>
    <w:p>
      <w:pPr>
        <w:spacing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Методичка описывает доказательный и безопасный переход AI-решения из прототипа в эксплуатацию. Она объединяет проектное управление, экспериментальный дизайн, оценку качества, AI-governance, мониторинг, управление инцидентами, передачу заказчику и подтверждение бизнес-эффекта.</w:t>
      </w:r>
    </w:p>
    <w:p>
      <w:pPr>
        <w:pStyle w:val="Heading2"/>
        <w:widowControl w:val="1"/>
      </w:pPr>
      <w:r>
        <w:t>Результаты применения</w:t>
      </w:r>
    </w:p>
    <w:p>
      <w:pPr>
        <w:pStyle w:val="ListBullet"/>
        <w:spacing w:after="80" w:line="288" w:lineRule="auto"/>
        <w:widowControl w:val="1"/>
      </w:pPr>
      <w:r>
        <w:t>определённая граница пилота и критерии готовности;</w:t>
      </w:r>
    </w:p>
    <w:p>
      <w:pPr>
        <w:pStyle w:val="ListBullet"/>
        <w:spacing w:after="80" w:line="288" w:lineRule="auto"/>
        <w:widowControl w:val="1"/>
      </w:pPr>
      <w:r>
        <w:t>воспроизводимый план оценки с Primary- и Guard-метриками;</w:t>
      </w:r>
    </w:p>
    <w:p>
      <w:pPr>
        <w:pStyle w:val="ListBullet"/>
        <w:spacing w:after="80" w:line="288" w:lineRule="auto"/>
        <w:widowControl w:val="1"/>
      </w:pPr>
      <w:r>
        <w:t>контролируемый запуск с возможностью отката;</w:t>
      </w:r>
    </w:p>
    <w:p>
      <w:pPr>
        <w:pStyle w:val="ListBullet"/>
        <w:spacing w:after="80" w:line="288" w:lineRule="auto"/>
        <w:widowControl w:val="1"/>
      </w:pPr>
      <w:r>
        <w:t>система мониторинга качества, риска, стоимости и бизнес-эффекта;</w:t>
      </w:r>
    </w:p>
    <w:p>
      <w:pPr>
        <w:pStyle w:val="ListBullet"/>
        <w:spacing w:after="80" w:line="288" w:lineRule="auto"/>
        <w:widowControl w:val="1"/>
      </w:pPr>
      <w:r>
        <w:t>полный пакет передачи и эксплуатационная ответственность;</w:t>
      </w:r>
    </w:p>
    <w:p>
      <w:pPr>
        <w:pStyle w:val="ListBullet"/>
        <w:spacing w:after="80" w:line="288" w:lineRule="auto"/>
        <w:widowControl w:val="1"/>
      </w:pPr>
      <w:r>
        <w:t>обоснованное решение Go / Extend / Redesign / Stop.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EAF4E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2E6B45"/>
                <w:sz w:val="22"/>
              </w:rPr>
              <w:t xml:space="preserve">Основной принцип. </w:t>
            </w:r>
            <w:r>
              <w:rPr>
                <w:rFonts w:ascii="Calibri" w:hAnsi="Calibri"/>
                <w:b w:val="0"/>
                <w:i w:val="0"/>
                <w:sz w:val="22"/>
              </w:rPr>
              <w:t>AI-система готова к масштабированию только тогда, когда её полезность подтверждена на реальном процессе, риски остаются в допустимых границах, а эксплуатация воспроизводима без постоянного участия разработчика.</w:t>
            </w:r>
          </w:p>
        </w:tc>
      </w:tr>
    </w:tbl>
    <w:p>
      <w:pPr>
        <w:spacing w:after="40"/>
        <w:widowControl w:val="1"/>
      </w:pPr>
    </w:p>
    <w:p>
      <w:pPr>
        <w:pStyle w:val="Heading1"/>
        <w:widowControl w:val="1"/>
      </w:pPr>
      <w:r>
        <w:t>Содержание</w:t>
      </w:r>
    </w:p>
    <w:p>
      <w:pPr>
        <w:spacing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1. Область применения и терминология</w:t>
      </w:r>
    </w:p>
    <w:p>
      <w:pPr>
        <w:spacing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2. Жизненный цикл запуска</w:t>
      </w:r>
    </w:p>
    <w:p>
      <w:pPr>
        <w:spacing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3. Готовность к пилоту</w:t>
      </w:r>
    </w:p>
    <w:p>
      <w:pPr>
        <w:spacing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4. Экспериментальный дизайн</w:t>
      </w:r>
    </w:p>
    <w:p>
      <w:pPr>
        <w:spacing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5. Система метрик</w:t>
      </w:r>
    </w:p>
    <w:p>
      <w:pPr>
        <w:spacing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6. Оценка LLM и RAG</w:t>
      </w:r>
    </w:p>
    <w:p>
      <w:pPr>
        <w:spacing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7. Производственный запуск</w:t>
      </w:r>
    </w:p>
    <w:p>
      <w:pPr>
        <w:spacing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8. Мониторинг и дрейф</w:t>
      </w:r>
    </w:p>
    <w:p>
      <w:pPr>
        <w:spacing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9. Инциденты и непрерывность</w:t>
      </w:r>
    </w:p>
    <w:p>
      <w:pPr>
        <w:spacing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10. Безопасность и управление</w:t>
      </w:r>
    </w:p>
    <w:p>
      <w:pPr>
        <w:spacing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11. Передача заказчику</w:t>
      </w:r>
    </w:p>
    <w:p>
      <w:pPr>
        <w:spacing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12. SLA и сопровождение</w:t>
      </w:r>
    </w:p>
    <w:p>
      <w:pPr>
        <w:spacing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13. Экономика и реализация выгод</w:t>
      </w:r>
    </w:p>
    <w:p>
      <w:pPr>
        <w:spacing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14. Шаблоны и чек-листы</w:t>
      </w:r>
    </w:p>
    <w:p>
      <w:pPr>
        <w:spacing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15. Обзор литературы и современные данные</w:t>
      </w:r>
    </w:p>
    <w:p>
      <w:pPr>
        <w:spacing w:after="40" w:line="300" w:lineRule="auto"/>
        <w:widowControl w:val="1"/>
      </w:pPr>
      <w:r>
        <w:rPr>
          <w:rFonts w:ascii="Calibri" w:hAnsi="Calibri"/>
          <w:b w:val="0"/>
          <w:i w:val="0"/>
          <w:sz w:val="21"/>
        </w:rPr>
        <w:t>16. Использованные системные навыки</w:t>
      </w:r>
    </w:p>
    <w:p>
      <w:pPr>
        <w:widowControl w:val="1"/>
      </w:pPr>
      <w:r>
        <w:br w:type="page"/>
      </w:r>
    </w:p>
    <w:p>
      <w:pPr>
        <w:pStyle w:val="Heading1"/>
        <w:widowControl w:val="1"/>
      </w:pPr>
      <w:r>
        <w:t>1. Область применения и терминология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Термин</w:t>
            </w:r>
          </w:p>
        </w:tc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Рабочее определение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Прототип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Демонстрация принципиальной технической реализуемости.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MVP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Минимальная версия, способная выполнить ограниченный полезный сценарий.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Пилот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Контролируемая проверка на реальном или приближенном к реальному процессе.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Теневой режим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Система формирует результат, но не влияет на рабочее решение.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Ассистирующий режим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Система предлагает результат, сотрудник проверяет и утверждает.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Промышленная эксплуатация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Регулярное использование с ответственностью, SLA, мониторингом и поддержкой.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Guard-метрика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Ограничитель, который запрещено ухудшать ради основной метрики.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Стоп-условие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Событие, требующее остановки, отката или передачи человеку.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Дрейф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Изменение данных, знаний, поведения пользователей или качества системы.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Human-in-the-loop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Обязательное участие человека в решении или контрольной точке.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1.1. Где методика применима</w:t>
      </w:r>
    </w:p>
    <w:p>
      <w:pPr>
        <w:pStyle w:val="ListBullet"/>
        <w:spacing w:after="80" w:line="288" w:lineRule="auto"/>
        <w:widowControl w:val="1"/>
      </w:pPr>
      <w:r>
        <w:t>клиентские и внутренние AI-ассистенты;</w:t>
      </w:r>
    </w:p>
    <w:p>
      <w:pPr>
        <w:pStyle w:val="ListBullet"/>
        <w:spacing w:after="80" w:line="288" w:lineRule="auto"/>
        <w:widowControl w:val="1"/>
      </w:pPr>
      <w:r>
        <w:t>поиск по корпоративной базе знаний;</w:t>
      </w:r>
    </w:p>
    <w:p>
      <w:pPr>
        <w:pStyle w:val="ListBullet"/>
        <w:spacing w:after="80" w:line="288" w:lineRule="auto"/>
        <w:widowControl w:val="1"/>
      </w:pPr>
      <w:r>
        <w:t>обработка документов и обращений;</w:t>
      </w:r>
    </w:p>
    <w:p>
      <w:pPr>
        <w:pStyle w:val="ListBullet"/>
        <w:spacing w:after="80" w:line="288" w:lineRule="auto"/>
        <w:widowControl w:val="1"/>
      </w:pPr>
      <w:r>
        <w:t>классификация, извлечение и маршрутизация;</w:t>
      </w:r>
    </w:p>
    <w:p>
      <w:pPr>
        <w:pStyle w:val="ListBullet"/>
        <w:spacing w:after="80" w:line="288" w:lineRule="auto"/>
        <w:widowControl w:val="1"/>
      </w:pPr>
      <w:r>
        <w:t>аналитические помощники;</w:t>
      </w:r>
    </w:p>
    <w:p>
      <w:pPr>
        <w:pStyle w:val="ListBullet"/>
        <w:spacing w:after="80" w:line="288" w:lineRule="auto"/>
        <w:widowControl w:val="1"/>
      </w:pPr>
      <w:r>
        <w:t>контролируемые агентные сценарии с ограниченными правами.</w:t>
      </w:r>
    </w:p>
    <w:p>
      <w:pPr>
        <w:pStyle w:val="Heading2"/>
        <w:widowControl w:val="1"/>
      </w:pPr>
      <w:r>
        <w:t>1.2. Где требуется усиленный контур</w:t>
      </w:r>
    </w:p>
    <w:p>
      <w:pPr>
        <w:spacing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В медицине, финансах, праве, критической инфраструктуре, кадровых решениях и обработке специальных категорий данных применяются отраслевые требования. Эта методика является общей основой и не заменяет обязательную юридическую, отраслевую или регуляторную проверку.</w:t>
      </w:r>
    </w:p>
    <w:p>
      <w:pPr>
        <w:pStyle w:val="Heading1"/>
        <w:widowControl w:val="1"/>
      </w:pPr>
      <w:r>
        <w:t>2. Жизненный цикл запуска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1800"/>
        <w:gridCol w:w="4300"/>
        <w:gridCol w:w="3260"/>
      </w:tblGrid>
      <w:tr>
        <w:trPr>
          <w:tblHeader w:val="true"/>
        </w:trPr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Этап</w:t>
            </w:r>
          </w:p>
        </w:tc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Результат</w:t>
            </w:r>
          </w:p>
        </w:tc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Контрольная точка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8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1. Контекст</w:t>
            </w:r>
          </w:p>
        </w:tc>
        <w:tc>
          <w:tcPr>
            <w:tcW w:type="dxa" w:w="4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Проблема, владелец, baseline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2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Проблема подтверждена.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8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2. Границы</w:t>
            </w:r>
          </w:p>
        </w:tc>
        <w:tc>
          <w:tcPr>
            <w:tcW w:type="dxa" w:w="4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Scope, пользователи, запреты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2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Назначение согласовано.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8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3. Подготовка</w:t>
            </w:r>
          </w:p>
        </w:tc>
        <w:tc>
          <w:tcPr>
            <w:tcW w:type="dxa" w:w="4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Данные, тесты, риски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2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Доказана готовность.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8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4. Теневой пилот</w:t>
            </w:r>
          </w:p>
        </w:tc>
        <w:tc>
          <w:tcPr>
            <w:tcW w:type="dxa" w:w="4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Сравнение с эталоном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2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Guard-метрики соблюдены.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8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5. Ассистирующий пилот</w:t>
            </w:r>
          </w:p>
        </w:tc>
        <w:tc>
          <w:tcPr>
            <w:tcW w:type="dxa" w:w="4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Работа на ограниченном потоке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2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Эффект подтверждён.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8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6. Go/No-Go</w:t>
            </w:r>
          </w:p>
        </w:tc>
        <w:tc>
          <w:tcPr>
            <w:tcW w:type="dxa" w:w="4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Документированное решение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2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Спонсор принял решение.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8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7. Ограниченный запуск</w:t>
            </w:r>
          </w:p>
        </w:tc>
        <w:tc>
          <w:tcPr>
            <w:tcW w:type="dxa" w:w="4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Canary, rollback, SLA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2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Стабильность подтверждена.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8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8. Масштабирование</w:t>
            </w:r>
          </w:p>
        </w:tc>
        <w:tc>
          <w:tcPr>
            <w:tcW w:type="dxa" w:w="4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Новые группы и процессы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2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Эффект сохраняется.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8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9. Эксплуатация</w:t>
            </w:r>
          </w:p>
        </w:tc>
        <w:tc>
          <w:tcPr>
            <w:tcW w:type="dxa" w:w="4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Мониторинг и улучшение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2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Периодический review.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8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10. Вывод</w:t>
            </w:r>
          </w:p>
        </w:tc>
        <w:tc>
          <w:tcPr>
            <w:tcW w:type="dxa" w:w="4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Экспорт, отзыв доступов, архив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2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Риски закрыты.</w:t>
            </w:r>
          </w:p>
        </w:tc>
      </w:tr>
    </w:tbl>
    <w:p>
      <w:pPr>
        <w:spacing w:after="40"/>
        <w:widowControl w:val="1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4F8FB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 xml:space="preserve">Запрет. </w:t>
            </w:r>
            <w:r>
              <w:rPr>
                <w:rFonts w:ascii="Calibri" w:hAnsi="Calibri"/>
                <w:b w:val="0"/>
                <w:i w:val="0"/>
                <w:sz w:val="22"/>
              </w:rPr>
              <w:t>Нельзя перескакивать от демонстрационного MVP к полному рабочему потоку только на основании впечатляющего демо.</w:t>
            </w:r>
          </w:p>
        </w:tc>
      </w:tr>
    </w:tbl>
    <w:p>
      <w:pPr>
        <w:spacing w:after="40"/>
        <w:widowControl w:val="1"/>
      </w:pPr>
    </w:p>
    <w:p>
      <w:pPr>
        <w:widowControl w:val="1"/>
      </w:pPr>
      <w:r>
        <w:br w:type="page"/>
      </w:r>
    </w:p>
    <w:p>
      <w:pPr>
        <w:pStyle w:val="Heading1"/>
        <w:widowControl w:val="1"/>
      </w:pPr>
      <w:r>
        <w:t>3. Готовность к пилоту</w:t>
      </w:r>
    </w:p>
    <w:p>
      <w:pPr>
        <w:pStyle w:val="Heading2"/>
        <w:widowControl w:val="1"/>
      </w:pPr>
      <w:r>
        <w:t>3.1. Входные условия</w:t>
      </w:r>
    </w:p>
    <w:p>
      <w:pPr>
        <w:pStyle w:val="ListBullet"/>
        <w:spacing w:after="80" w:line="288" w:lineRule="auto"/>
        <w:widowControl w:val="1"/>
      </w:pPr>
      <w:r>
        <w:t>☐ назначен бизнес-владелец процесса;</w:t>
      </w:r>
    </w:p>
    <w:p>
      <w:pPr>
        <w:pStyle w:val="ListBullet"/>
        <w:spacing w:after="80" w:line="288" w:lineRule="auto"/>
        <w:widowControl w:val="1"/>
      </w:pPr>
      <w:r>
        <w:t>☐ описан As-Is процесс и baseline;</w:t>
      </w:r>
    </w:p>
    <w:p>
      <w:pPr>
        <w:pStyle w:val="ListBullet"/>
        <w:spacing w:after="80" w:line="288" w:lineRule="auto"/>
        <w:widowControl w:val="1"/>
      </w:pPr>
      <w:r>
        <w:t>☐ выбран один ограниченный сценарий;</w:t>
      </w:r>
    </w:p>
    <w:p>
      <w:pPr>
        <w:pStyle w:val="ListBullet"/>
        <w:spacing w:after="80" w:line="288" w:lineRule="auto"/>
        <w:widowControl w:val="1"/>
      </w:pPr>
      <w:r>
        <w:t>☐ определены пользователи и их права;</w:t>
      </w:r>
    </w:p>
    <w:p>
      <w:pPr>
        <w:pStyle w:val="ListBullet"/>
        <w:spacing w:after="80" w:line="288" w:lineRule="auto"/>
        <w:widowControl w:val="1"/>
      </w:pPr>
      <w:r>
        <w:t>☐ есть разрешённые данные и эталонные примеры;</w:t>
      </w:r>
    </w:p>
    <w:p>
      <w:pPr>
        <w:pStyle w:val="ListBullet"/>
        <w:spacing w:after="80" w:line="288" w:lineRule="auto"/>
        <w:widowControl w:val="1"/>
      </w:pPr>
      <w:r>
        <w:t>☐ зафиксированы Primary-, Guard- и операционные метрики;</w:t>
      </w:r>
    </w:p>
    <w:p>
      <w:pPr>
        <w:pStyle w:val="ListBullet"/>
        <w:spacing w:after="80" w:line="288" w:lineRule="auto"/>
        <w:widowControl w:val="1"/>
      </w:pPr>
      <w:r>
        <w:t>☐ согласованы запрещённые действия;</w:t>
      </w:r>
    </w:p>
    <w:p>
      <w:pPr>
        <w:pStyle w:val="ListBullet"/>
        <w:spacing w:after="80" w:line="288" w:lineRule="auto"/>
        <w:widowControl w:val="1"/>
      </w:pPr>
      <w:r>
        <w:t>☐ определены эскалация, стоп-условия и откат;</w:t>
      </w:r>
    </w:p>
    <w:p>
      <w:pPr>
        <w:pStyle w:val="ListBullet"/>
        <w:spacing w:after="80" w:line="288" w:lineRule="auto"/>
        <w:widowControl w:val="1"/>
      </w:pPr>
      <w:r>
        <w:t>☐ назначены IT, ИБ, качество и поддержка;</w:t>
      </w:r>
    </w:p>
    <w:p>
      <w:pPr>
        <w:pStyle w:val="ListBullet"/>
        <w:spacing w:after="80" w:line="288" w:lineRule="auto"/>
        <w:widowControl w:val="1"/>
      </w:pPr>
      <w:r>
        <w:t>☐ понятен источник бюджета и решение после пилота.</w:t>
      </w:r>
    </w:p>
    <w:p>
      <w:pPr>
        <w:pStyle w:val="Heading2"/>
        <w:widowControl w:val="1"/>
      </w:pPr>
      <w:r>
        <w:t>3.2. Паспорт пилота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Поле</w:t>
            </w:r>
          </w:p>
        </w:tc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Что зафиксировать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Гипотеза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Изменение, метрика, срок, целевое значение.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Scope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Один процесс, группа, канал или тип документа.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Out of scope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Что система не делает.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Выборка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Размер, сегменты, сложные и критические случаи.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Baseline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Текущее качество, время, стоимость, ошибки.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Primary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Главный результат.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Guard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Безопасность, критические ошибки, жалобы.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Стоп-условия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Когда прекращаем или откатываем.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Решение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Go, Extend, Redesign или Stop.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Владелец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Кто подтверждает результат и принимает риск.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3.3. Минимальный набор данных</w:t>
      </w:r>
    </w:p>
    <w:p>
      <w:pPr>
        <w:spacing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Набор должен представлять реальную сложность, а не только удобные примеры. Включаются типовые, редкие, неоднозначные, ошибочно оформленные, конфликтующие, вредоносные и выходящие за границы запросы.</w:t>
      </w:r>
    </w:p>
    <w:p>
      <w:pPr>
        <w:pStyle w:val="Heading1"/>
        <w:widowControl w:val="1"/>
      </w:pPr>
      <w:r>
        <w:t>4. Экспериментальный дизайн</w:t>
      </w:r>
    </w:p>
    <w:p>
      <w:pPr>
        <w:pStyle w:val="Heading2"/>
        <w:widowControl w:val="1"/>
      </w:pPr>
      <w:r>
        <w:t>4.1. Пилот и A/B-тест — не одно и то же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2000"/>
        <w:gridCol w:w="3680"/>
        <w:gridCol w:w="3680"/>
      </w:tblGrid>
      <w:tr>
        <w:trPr>
          <w:tblHeader w:val="true"/>
        </w:trPr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Параметр</w:t>
            </w:r>
          </w:p>
        </w:tc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Контролируемый пилот</w:t>
            </w:r>
          </w:p>
        </w:tc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A/B-тест</w:t>
            </w:r>
          </w:p>
        </w:tc>
      </w:tr>
      <w:t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0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Цель</w:t>
            </w:r>
          </w:p>
        </w:tc>
        <w:tc>
          <w:tcPr>
            <w:tcW w:type="dxa" w:w="3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68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Безопасно проверить применимость</w:t>
            </w:r>
          </w:p>
        </w:tc>
        <w:tc>
          <w:tcPr>
            <w:tcW w:type="dxa" w:w="3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68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Оценить причинный эффект изменения</w:t>
            </w:r>
          </w:p>
        </w:tc>
      </w:tr>
      <w:t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0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Распределение</w:t>
            </w:r>
          </w:p>
        </w:tc>
        <w:tc>
          <w:tcPr>
            <w:tcW w:type="dxa" w:w="3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68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Ограниченный поток</w:t>
            </w:r>
          </w:p>
        </w:tc>
        <w:tc>
          <w:tcPr>
            <w:tcW w:type="dxa" w:w="3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68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Случайное распределение A/B</w:t>
            </w:r>
          </w:p>
        </w:tc>
      </w:tr>
      <w:t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0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Контроль</w:t>
            </w:r>
          </w:p>
        </w:tc>
        <w:tc>
          <w:tcPr>
            <w:tcW w:type="dxa" w:w="3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68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Может быть исторический</w:t>
            </w:r>
          </w:p>
        </w:tc>
        <w:tc>
          <w:tcPr>
            <w:tcW w:type="dxa" w:w="3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68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Одновременная контрольная группа</w:t>
            </w:r>
          </w:p>
        </w:tc>
      </w:tr>
      <w:t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0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Статистика</w:t>
            </w:r>
          </w:p>
        </w:tc>
        <w:tc>
          <w:tcPr>
            <w:tcW w:type="dxa" w:w="3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68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Допустима описательная</w:t>
            </w:r>
          </w:p>
        </w:tc>
        <w:tc>
          <w:tcPr>
            <w:tcW w:type="dxa" w:w="3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68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Нужны MDE, мощность, значимость</w:t>
            </w:r>
          </w:p>
        </w:tc>
      </w:tr>
      <w:t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0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Результат</w:t>
            </w:r>
          </w:p>
        </w:tc>
        <w:tc>
          <w:tcPr>
            <w:tcW w:type="dxa" w:w="3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68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Решение о дальнейшем тесте</w:t>
            </w:r>
          </w:p>
        </w:tc>
        <w:tc>
          <w:tcPr>
            <w:tcW w:type="dxa" w:w="3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68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Оценка эффекта варианта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4.2. Последовательность безопасного эксперимента</w:t>
      </w:r>
    </w:p>
    <w:p>
      <w:pPr>
        <w:pStyle w:val="ListNumber"/>
        <w:numPr>
          <w:ilvl w:val="0"/>
          <w:numId w:val="10"/>
        </w:numPr>
        <w:spacing w:after="80"/>
        <w:widowControl w:val="1"/>
      </w:pPr>
      <w:r>
        <w:t>Оффлайн-оценка на зафиксированном наборе.</w:t>
      </w:r>
    </w:p>
    <w:p>
      <w:pPr>
        <w:pStyle w:val="ListNumber"/>
        <w:numPr>
          <w:ilvl w:val="0"/>
          <w:numId w:val="10"/>
        </w:numPr>
        <w:spacing w:after="80"/>
        <w:widowControl w:val="1"/>
      </w:pPr>
      <w:r>
        <w:t>Теневой режим без влияния на процесс.</w:t>
      </w:r>
    </w:p>
    <w:p>
      <w:pPr>
        <w:pStyle w:val="ListNumber"/>
        <w:numPr>
          <w:ilvl w:val="0"/>
          <w:numId w:val="10"/>
        </w:numPr>
        <w:spacing w:after="80"/>
        <w:widowControl w:val="1"/>
      </w:pPr>
      <w:r>
        <w:t>Ассистирующий режим с проверкой сотрудником.</w:t>
      </w:r>
    </w:p>
    <w:p>
      <w:pPr>
        <w:pStyle w:val="ListNumber"/>
        <w:numPr>
          <w:ilvl w:val="0"/>
          <w:numId w:val="10"/>
        </w:numPr>
        <w:spacing w:after="80"/>
        <w:widowControl w:val="1"/>
      </w:pPr>
      <w:r>
        <w:t>Canary-запуск на малой доле потока.</w:t>
      </w:r>
    </w:p>
    <w:p>
      <w:pPr>
        <w:pStyle w:val="ListNumber"/>
        <w:numPr>
          <w:ilvl w:val="0"/>
          <w:numId w:val="10"/>
        </w:numPr>
        <w:spacing w:after="80"/>
        <w:widowControl w:val="1"/>
      </w:pPr>
      <w:r>
        <w:t>Рандомизированный тест, если он этически и операционно допустим.</w:t>
      </w:r>
    </w:p>
    <w:p>
      <w:pPr>
        <w:pStyle w:val="ListNumber"/>
        <w:numPr>
          <w:ilvl w:val="0"/>
          <w:numId w:val="10"/>
        </w:numPr>
        <w:spacing w:after="80"/>
        <w:widowControl w:val="1"/>
      </w:pPr>
      <w:r>
        <w:t>Постепенное расширение при сохранении Guard-метрик.</w:t>
      </w:r>
    </w:p>
    <w:p>
      <w:pPr>
        <w:pStyle w:val="Heading2"/>
        <w:widowControl w:val="1"/>
      </w:pPr>
      <w:r>
        <w:t>4.3. Требования к A/B-тесту</w:t>
      </w:r>
    </w:p>
    <w:p>
      <w:pPr>
        <w:pStyle w:val="ListBullet"/>
        <w:spacing w:after="80" w:line="288" w:lineRule="auto"/>
        <w:widowControl w:val="1"/>
      </w:pPr>
      <w:r>
        <w:t>гипотеза и метрики определены до начала;</w:t>
      </w:r>
    </w:p>
    <w:p>
      <w:pPr>
        <w:pStyle w:val="ListBullet"/>
        <w:spacing w:after="80" w:line="288" w:lineRule="auto"/>
        <w:widowControl w:val="1"/>
      </w:pPr>
      <w:r>
        <w:t>распределение случайно и стабильно;</w:t>
      </w:r>
    </w:p>
    <w:p>
      <w:pPr>
        <w:pStyle w:val="ListBullet"/>
        <w:spacing w:after="80" w:line="288" w:lineRule="auto"/>
        <w:widowControl w:val="1"/>
      </w:pPr>
      <w:r>
        <w:t>группы сопоставимы;</w:t>
      </w:r>
    </w:p>
    <w:p>
      <w:pPr>
        <w:pStyle w:val="ListBullet"/>
        <w:spacing w:after="80" w:line="288" w:lineRule="auto"/>
        <w:widowControl w:val="1"/>
      </w:pPr>
      <w:r>
        <w:t>выборка рассчитана по MDE;</w:t>
      </w:r>
    </w:p>
    <w:p>
      <w:pPr>
        <w:pStyle w:val="ListBullet"/>
        <w:spacing w:after="80" w:line="288" w:lineRule="auto"/>
        <w:widowControl w:val="1"/>
      </w:pPr>
      <w:r>
        <w:t>не меняются другие ключевые условия;</w:t>
      </w:r>
    </w:p>
    <w:p>
      <w:pPr>
        <w:pStyle w:val="ListBullet"/>
        <w:spacing w:after="80" w:line="288" w:lineRule="auto"/>
        <w:widowControl w:val="1"/>
      </w:pPr>
      <w:r>
        <w:t>учитывается сезонность и новизна;</w:t>
      </w:r>
    </w:p>
    <w:p>
      <w:pPr>
        <w:pStyle w:val="ListBullet"/>
        <w:spacing w:after="80" w:line="288" w:lineRule="auto"/>
        <w:widowControl w:val="1"/>
      </w:pPr>
      <w:r>
        <w:t>анализируются практическая и статистическая значимость;</w:t>
      </w:r>
    </w:p>
    <w:p>
      <w:pPr>
        <w:pStyle w:val="ListBullet"/>
        <w:spacing w:after="80" w:line="288" w:lineRule="auto"/>
        <w:widowControl w:val="1"/>
      </w:pPr>
      <w:r>
        <w:t>заранее задано правило остановки.</w:t>
      </w:r>
    </w:p>
    <w:p>
      <w:pPr>
        <w:widowControl w:val="1"/>
      </w:pPr>
      <w:r>
        <w:br w:type="page"/>
      </w:r>
    </w:p>
    <w:p>
      <w:pPr>
        <w:pStyle w:val="Heading1"/>
        <w:widowControl w:val="1"/>
      </w:pPr>
      <w:r>
        <w:t>5. Система метрик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1900"/>
        <w:gridCol w:w="3500"/>
        <w:gridCol w:w="3960"/>
      </w:tblGrid>
      <w:tr>
        <w:trPr>
          <w:tblHeader w:val="true"/>
        </w:trPr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Группа</w:t>
            </w:r>
          </w:p>
        </w:tc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Примеры</w:t>
            </w:r>
          </w:p>
        </w:tc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Назначение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9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Primary</w:t>
            </w:r>
          </w:p>
        </w:tc>
        <w:tc>
          <w:tcPr>
            <w:tcW w:type="dxa" w:w="3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Точность, полнота, время цикла, конверсия</w:t>
            </w:r>
          </w:p>
        </w:tc>
        <w:tc>
          <w:tcPr>
            <w:tcW w:type="dxa" w:w="3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9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Проверяет основную гипотезу.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9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Guard</w:t>
            </w:r>
          </w:p>
        </w:tc>
        <w:tc>
          <w:tcPr>
            <w:tcW w:type="dxa" w:w="3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Критические ошибки, утечки, вредные действия</w:t>
            </w:r>
          </w:p>
        </w:tc>
        <w:tc>
          <w:tcPr>
            <w:tcW w:type="dxa" w:w="3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9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Не допускает опасной оптимизации.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9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Операционные</w:t>
            </w:r>
          </w:p>
        </w:tc>
        <w:tc>
          <w:tcPr>
            <w:tcW w:type="dxa" w:w="3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Latency, uptime, ошибки API, стоимость</w:t>
            </w:r>
          </w:p>
        </w:tc>
        <w:tc>
          <w:tcPr>
            <w:tcW w:type="dxa" w:w="3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9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Проверяет эксплуатационную пригодность.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9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Пользовательские</w:t>
            </w:r>
          </w:p>
        </w:tc>
        <w:tc>
          <w:tcPr>
            <w:tcW w:type="dxa" w:w="3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CSAT, принятие, исправления, эскалации</w:t>
            </w:r>
          </w:p>
        </w:tc>
        <w:tc>
          <w:tcPr>
            <w:tcW w:type="dxa" w:w="3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9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Показывает реальную полезность.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9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Бизнес</w:t>
            </w:r>
          </w:p>
        </w:tc>
        <w:tc>
          <w:tcPr>
            <w:tcW w:type="dxa" w:w="3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TCO, экономия, выручка, SLA, пропускная способность</w:t>
            </w:r>
          </w:p>
        </w:tc>
        <w:tc>
          <w:tcPr>
            <w:tcW w:type="dxa" w:w="3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9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Подтверждает ценность.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9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Governance</w:t>
            </w:r>
          </w:p>
        </w:tc>
        <w:tc>
          <w:tcPr>
            <w:tcW w:type="dxa" w:w="3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Нарушения доступа, аудит, актуальность знаний</w:t>
            </w:r>
          </w:p>
        </w:tc>
        <w:tc>
          <w:tcPr>
            <w:tcW w:type="dxa" w:w="3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9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Проверяет управляемость.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5.1. Почему одной accuracy недостаточно</w:t>
      </w:r>
    </w:p>
    <w:p>
      <w:pPr>
        <w:spacing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Одинаковая общая точность может скрывать разные последствия: безопасную ошибку формулировки и пропуск критического реквизита. Метрики следует назначать по типу задачи и цене ошибки.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2600"/>
        <w:gridCol w:w="6760"/>
      </w:tblGrid>
      <w:tr>
        <w:trPr>
          <w:tblHeader w:val="true"/>
        </w:trPr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Задача</w:t>
            </w:r>
          </w:p>
        </w:tc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Рекомендуемые показатели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Классификация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Accuracy, macro-F1, матрица ошибок.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Извлечение полей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Precision, recall и F1 по каждому полю.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Маршрутизация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Accuracy по подразделениям, критические ошибки.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Генерация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Полнота, корректность, groundedness, стиль.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Поиск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Recall@k, Precision@k, MRR/nDCG при необходимости.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Агентные действия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Успех задачи, неверные действия, превышение полномочий.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5.2. Пример порогов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4F8FB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 xml:space="preserve">Пример, не универсальный норматив. </w:t>
            </w:r>
            <w:r>
              <w:rPr>
                <w:rFonts w:ascii="Calibri" w:hAnsi="Calibri"/>
                <w:b w:val="0"/>
                <w:i w:val="0"/>
                <w:sz w:val="22"/>
              </w:rPr>
              <w:t>Primary: время обработки −40%. Guard: 0 критических действий без подтверждения. Операционные: p95 ≤ 10 сек, доступность ≥ 99,5%. Решение Go принимается только при одновременном выполнении всех обязательных порогов.</w:t>
            </w:r>
          </w:p>
        </w:tc>
      </w:tr>
    </w:tbl>
    <w:p>
      <w:pPr>
        <w:spacing w:after="40"/>
        <w:widowControl w:val="1"/>
      </w:pPr>
    </w:p>
    <w:p>
      <w:pPr>
        <w:pStyle w:val="Heading1"/>
        <w:widowControl w:val="1"/>
      </w:pPr>
      <w:r>
        <w:t>6. Оценка LLM и RAG</w:t>
      </w:r>
    </w:p>
    <w:p>
      <w:pPr>
        <w:pStyle w:val="Heading2"/>
        <w:widowControl w:val="1"/>
      </w:pPr>
      <w:r>
        <w:t>6.1. Разделяйте компоненты</w:t>
      </w:r>
    </w:p>
    <w:p>
      <w:pPr>
        <w:pStyle w:val="ListNumber"/>
        <w:numPr>
          <w:ilvl w:val="0"/>
          <w:numId w:val="11"/>
        </w:numPr>
        <w:spacing w:after="80"/>
        <w:widowControl w:val="1"/>
      </w:pPr>
      <w:r>
        <w:t>качество исходных данных;</w:t>
      </w:r>
    </w:p>
    <w:p>
      <w:pPr>
        <w:pStyle w:val="ListNumber"/>
        <w:numPr>
          <w:ilvl w:val="0"/>
          <w:numId w:val="11"/>
        </w:numPr>
        <w:spacing w:after="80"/>
        <w:widowControl w:val="1"/>
      </w:pPr>
      <w:r>
        <w:t>качество распознавания и парсинга;</w:t>
      </w:r>
    </w:p>
    <w:p>
      <w:pPr>
        <w:pStyle w:val="ListNumber"/>
        <w:numPr>
          <w:ilvl w:val="0"/>
          <w:numId w:val="11"/>
        </w:numPr>
        <w:spacing w:after="80"/>
        <w:widowControl w:val="1"/>
      </w:pPr>
      <w:r>
        <w:t>поиск нужного источника;</w:t>
      </w:r>
    </w:p>
    <w:p>
      <w:pPr>
        <w:pStyle w:val="ListNumber"/>
        <w:numPr>
          <w:ilvl w:val="0"/>
          <w:numId w:val="11"/>
        </w:numPr>
        <w:spacing w:after="80"/>
        <w:widowControl w:val="1"/>
      </w:pPr>
      <w:r>
        <w:t>актуальность и права доступа к источнику;</w:t>
      </w:r>
    </w:p>
    <w:p>
      <w:pPr>
        <w:pStyle w:val="ListNumber"/>
        <w:numPr>
          <w:ilvl w:val="0"/>
          <w:numId w:val="11"/>
        </w:numPr>
        <w:spacing w:after="80"/>
        <w:widowControl w:val="1"/>
      </w:pPr>
      <w:r>
        <w:t>понимание найденного контекста;</w:t>
      </w:r>
    </w:p>
    <w:p>
      <w:pPr>
        <w:pStyle w:val="ListNumber"/>
        <w:numPr>
          <w:ilvl w:val="0"/>
          <w:numId w:val="11"/>
        </w:numPr>
        <w:spacing w:after="80"/>
        <w:widowControl w:val="1"/>
      </w:pPr>
      <w:r>
        <w:t>формирование результата;</w:t>
      </w:r>
    </w:p>
    <w:p>
      <w:pPr>
        <w:pStyle w:val="ListNumber"/>
        <w:numPr>
          <w:ilvl w:val="0"/>
          <w:numId w:val="11"/>
        </w:numPr>
        <w:spacing w:after="80"/>
        <w:widowControl w:val="1"/>
      </w:pPr>
      <w:r>
        <w:t>применение бизнес-правил;</w:t>
      </w:r>
    </w:p>
    <w:p>
      <w:pPr>
        <w:pStyle w:val="ListNumber"/>
        <w:numPr>
          <w:ilvl w:val="0"/>
          <w:numId w:val="11"/>
        </w:numPr>
        <w:spacing w:after="80"/>
        <w:widowControl w:val="1"/>
      </w:pPr>
      <w:r>
        <w:t>действие или маршрутизация.</w:t>
      </w:r>
    </w:p>
    <w:p>
      <w:pPr>
        <w:pStyle w:val="Heading2"/>
        <w:widowControl w:val="1"/>
      </w:pPr>
      <w:r>
        <w:t>6.2. Метрики RAG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1900"/>
        <w:gridCol w:w="2600"/>
        <w:gridCol w:w="4860"/>
      </w:tblGrid>
      <w:tr>
        <w:trPr>
          <w:tblHeader w:val="true"/>
        </w:trPr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Компонент</w:t>
            </w:r>
          </w:p>
        </w:tc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Метрика</w:t>
            </w:r>
          </w:p>
        </w:tc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Типовая ошибка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9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Корпус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Покрытие, актуальность, версии</w:t>
            </w:r>
          </w:p>
        </w:tc>
        <w:tc>
          <w:tcPr>
            <w:tcW w:type="dxa" w:w="4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Нужного документа нет.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9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Retrieval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Recall@k, Precision@k</w:t>
            </w:r>
          </w:p>
        </w:tc>
        <w:tc>
          <w:tcPr>
            <w:tcW w:type="dxa" w:w="4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Нужный фрагмент не найден.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9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Контекст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Релевантность и достаточность</w:t>
            </w:r>
          </w:p>
        </w:tc>
        <w:tc>
          <w:tcPr>
            <w:tcW w:type="dxa" w:w="4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Найдено лишнее или неполное.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9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Ответ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Faithfulness / groundedness</w:t>
            </w:r>
          </w:p>
        </w:tc>
        <w:tc>
          <w:tcPr>
            <w:tcW w:type="dxa" w:w="4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Утверждение не поддержано.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9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Ссылка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Корректность цитирования</w:t>
            </w:r>
          </w:p>
        </w:tc>
        <w:tc>
          <w:tcPr>
            <w:tcW w:type="dxa" w:w="4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Ссылка ведёт не к тому месту.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9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End-to-end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Успех сценария</w:t>
            </w:r>
          </w:p>
        </w:tc>
        <w:tc>
          <w:tcPr>
            <w:tcW w:type="dxa" w:w="4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Компоненты работают, задача не решена.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6.3. LLM-as-a-judge</w:t>
      </w:r>
    </w:p>
    <w:p>
      <w:pPr>
        <w:spacing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Автоматическая оценка другой моделью полезна для масштаба, но не является окончательным арбитром. Критические сценарии требуют эталона и человеческой проверки. Судью калибруют на размеченной выборке и проверяют устойчивость к формулировкам.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4F8FB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 xml:space="preserve">Не используйте. </w:t>
            </w:r>
            <w:r>
              <w:rPr>
                <w:rFonts w:ascii="Calibri" w:hAnsi="Calibri"/>
                <w:b w:val="0"/>
                <w:i w:val="0"/>
                <w:sz w:val="22"/>
              </w:rPr>
              <w:t>Скрытые внутренние рассуждения модели как доказательство правильности. В отчёте должны быть проверяемые поля, источники, применённые правила и результат контроля.</w:t>
            </w:r>
          </w:p>
        </w:tc>
      </w:tr>
    </w:tbl>
    <w:p>
      <w:pPr>
        <w:spacing w:after="40"/>
        <w:widowControl w:val="1"/>
      </w:pPr>
    </w:p>
    <w:p>
      <w:pPr>
        <w:widowControl w:val="1"/>
      </w:pPr>
      <w:r>
        <w:br w:type="page"/>
      </w:r>
    </w:p>
    <w:p>
      <w:pPr>
        <w:pStyle w:val="Heading1"/>
        <w:widowControl w:val="1"/>
      </w:pPr>
      <w:r>
        <w:t>7. Производственный запуск</w:t>
      </w:r>
    </w:p>
    <w:p>
      <w:pPr>
        <w:pStyle w:val="Heading2"/>
        <w:widowControl w:val="1"/>
      </w:pPr>
      <w:r>
        <w:t>7.1. Стратегия развёртывания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1800"/>
        <w:gridCol w:w="3400"/>
        <w:gridCol w:w="4160"/>
      </w:tblGrid>
      <w:tr>
        <w:trPr>
          <w:tblHeader w:val="true"/>
        </w:trPr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Режим</w:t>
            </w:r>
          </w:p>
        </w:tc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Влияние</w:t>
            </w:r>
          </w:p>
        </w:tc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Когда применять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8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Shadow</w:t>
            </w:r>
          </w:p>
        </w:tc>
        <w:tc>
          <w:tcPr>
            <w:tcW w:type="dxa" w:w="3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4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Нет влияния на решение</w:t>
            </w:r>
          </w:p>
        </w:tc>
        <w:tc>
          <w:tcPr>
            <w:tcW w:type="dxa" w:w="4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Первичная проверка на реальном потоке.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8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Assistant</w:t>
            </w:r>
          </w:p>
        </w:tc>
        <w:tc>
          <w:tcPr>
            <w:tcW w:type="dxa" w:w="3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4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Сотрудник подтверждает всё</w:t>
            </w:r>
          </w:p>
        </w:tc>
        <w:tc>
          <w:tcPr>
            <w:tcW w:type="dxa" w:w="4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Высокая цена ошибки.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8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Canary</w:t>
            </w:r>
          </w:p>
        </w:tc>
        <w:tc>
          <w:tcPr>
            <w:tcW w:type="dxa" w:w="3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4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Малая доля пользователей/трафика</w:t>
            </w:r>
          </w:p>
        </w:tc>
        <w:tc>
          <w:tcPr>
            <w:tcW w:type="dxa" w:w="4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Проверка инфраструктуры и качества.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8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Blue-green</w:t>
            </w:r>
          </w:p>
        </w:tc>
        <w:tc>
          <w:tcPr>
            <w:tcW w:type="dxa" w:w="3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4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Две готовые среды</w:t>
            </w:r>
          </w:p>
        </w:tc>
        <w:tc>
          <w:tcPr>
            <w:tcW w:type="dxa" w:w="4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Быстрый переключаемый релиз.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8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Feature flag</w:t>
            </w:r>
          </w:p>
        </w:tc>
        <w:tc>
          <w:tcPr>
            <w:tcW w:type="dxa" w:w="3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4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Функция включается управляемо</w:t>
            </w:r>
          </w:p>
        </w:tc>
        <w:tc>
          <w:tcPr>
            <w:tcW w:type="dxa" w:w="4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Сегменты и быстрый откат.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8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Полный запуск</w:t>
            </w:r>
          </w:p>
        </w:tc>
        <w:tc>
          <w:tcPr>
            <w:tcW w:type="dxa" w:w="3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4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Весь согласованный scope</w:t>
            </w:r>
          </w:p>
        </w:tc>
        <w:tc>
          <w:tcPr>
            <w:tcW w:type="dxa" w:w="4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Только после выполнения gate.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7.2. Release gate</w:t>
      </w:r>
    </w:p>
    <w:p>
      <w:pPr>
        <w:pStyle w:val="ListBullet"/>
        <w:spacing w:after="80" w:line="288" w:lineRule="auto"/>
        <w:widowControl w:val="1"/>
      </w:pPr>
      <w:r>
        <w:t>☐ зафиксированы версии модели, промпта, базы и правил;</w:t>
      </w:r>
    </w:p>
    <w:p>
      <w:pPr>
        <w:pStyle w:val="ListBullet"/>
        <w:spacing w:after="80" w:line="288" w:lineRule="auto"/>
        <w:widowControl w:val="1"/>
      </w:pPr>
      <w:r>
        <w:t>☐ пройдены функциональные, регрессионные и security-тесты;</w:t>
      </w:r>
    </w:p>
    <w:p>
      <w:pPr>
        <w:pStyle w:val="ListBullet"/>
        <w:spacing w:after="80" w:line="288" w:lineRule="auto"/>
        <w:widowControl w:val="1"/>
      </w:pPr>
      <w:r>
        <w:t>☐ выполнены Primary- и Guard-пороги;</w:t>
      </w:r>
    </w:p>
    <w:p>
      <w:pPr>
        <w:pStyle w:val="ListBullet"/>
        <w:spacing w:after="80" w:line="288" w:lineRule="auto"/>
        <w:widowControl w:val="1"/>
      </w:pPr>
      <w:r>
        <w:t>☐ настроены мониторинг и алерты;</w:t>
      </w:r>
    </w:p>
    <w:p>
      <w:pPr>
        <w:pStyle w:val="ListBullet"/>
        <w:spacing w:after="80" w:line="288" w:lineRule="auto"/>
        <w:widowControl w:val="1"/>
      </w:pPr>
      <w:r>
        <w:t>☐ проверены эскалация и ручной режим;</w:t>
      </w:r>
    </w:p>
    <w:p>
      <w:pPr>
        <w:pStyle w:val="ListBullet"/>
        <w:spacing w:after="80" w:line="288" w:lineRule="auto"/>
        <w:widowControl w:val="1"/>
      </w:pPr>
      <w:r>
        <w:t>☐ выполнена репетиция отката;</w:t>
      </w:r>
    </w:p>
    <w:p>
      <w:pPr>
        <w:pStyle w:val="ListBullet"/>
        <w:spacing w:after="80" w:line="288" w:lineRule="auto"/>
        <w:widowControl w:val="1"/>
      </w:pPr>
      <w:r>
        <w:t>☐ назначены on-call и владельцы решений;</w:t>
      </w:r>
    </w:p>
    <w:p>
      <w:pPr>
        <w:pStyle w:val="ListBullet"/>
        <w:spacing w:after="80" w:line="288" w:lineRule="auto"/>
        <w:widowControl w:val="1"/>
      </w:pPr>
      <w:r>
        <w:t>☐ обновлены инструкции и журнал изменений.</w:t>
      </w:r>
    </w:p>
    <w:p>
      <w:pPr>
        <w:pStyle w:val="Heading2"/>
        <w:widowControl w:val="1"/>
      </w:pPr>
      <w:r>
        <w:t>7.3. План отката</w:t>
      </w:r>
    </w:p>
    <w:p>
      <w:pPr>
        <w:spacing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Откат должен быть технически и организационно возможен: отключение функции, возврат предыдущей версии, переключение на ручную очередь, сохранение входных данных и уведомление ответственных. Наличие кнопки выключения без проверенного ручного процесса недостаточно.</w:t>
      </w:r>
    </w:p>
    <w:p>
      <w:pPr>
        <w:pStyle w:val="Heading1"/>
        <w:widowControl w:val="1"/>
      </w:pPr>
      <w:r>
        <w:t>8. Мониторинг и дрейф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2300"/>
        <w:gridCol w:w="7060"/>
      </w:tblGrid>
      <w:tr>
        <w:trPr>
          <w:tblHeader w:val="true"/>
        </w:trPr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Уровень</w:t>
            </w:r>
          </w:p>
        </w:tc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Что отслеживать</w:t>
            </w:r>
          </w:p>
        </w:tc>
      </w:tr>
      <w:t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Техника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Доступность, latency, тайм-ауты, ошибки, очередь, ресурсы.</w:t>
            </w:r>
          </w:p>
        </w:tc>
      </w:tr>
      <w:t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Данные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Формат, качество, пропуски, новые категории, распределения.</w:t>
            </w:r>
          </w:p>
        </w:tc>
      </w:tr>
      <w:t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Знания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Актуальность, версии, владельцы, истечение срока.</w:t>
            </w:r>
          </w:p>
        </w:tc>
      </w:tr>
      <w:t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Качество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Точность, полнота, groundedness, исправления, эскалации.</w:t>
            </w:r>
          </w:p>
        </w:tc>
      </w:tr>
      <w:t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Безопасность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Доступы, инъекции, утечки, вредоносные файлы, аномалии.</w:t>
            </w:r>
          </w:p>
        </w:tc>
      </w:tr>
      <w:t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Бизнес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Время цикла, стоимость, SLA, объём, эффект.</w:t>
            </w:r>
          </w:p>
        </w:tc>
      </w:tr>
      <w:t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Пользователь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Принятие, жалобы, обход системы, удовлетворённость.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8.1. Типы дрейфа</w:t>
      </w:r>
    </w:p>
    <w:p>
      <w:pPr>
        <w:pStyle w:val="ListBullet"/>
        <w:spacing w:after="80" w:line="288" w:lineRule="auto"/>
        <w:widowControl w:val="1"/>
      </w:pPr>
      <w:r>
        <w:t>data drift — изменились входные данные;</w:t>
      </w:r>
    </w:p>
    <w:p>
      <w:pPr>
        <w:pStyle w:val="ListBullet"/>
        <w:spacing w:after="80" w:line="288" w:lineRule="auto"/>
        <w:widowControl w:val="1"/>
      </w:pPr>
      <w:r>
        <w:t>concept drift — изменилась связь между данными и правильным результатом;</w:t>
      </w:r>
    </w:p>
    <w:p>
      <w:pPr>
        <w:pStyle w:val="ListBullet"/>
        <w:spacing w:after="80" w:line="288" w:lineRule="auto"/>
        <w:widowControl w:val="1"/>
      </w:pPr>
      <w:r>
        <w:t>knowledge drift — устарели регламенты и база знаний;</w:t>
      </w:r>
    </w:p>
    <w:p>
      <w:pPr>
        <w:pStyle w:val="ListBullet"/>
        <w:spacing w:after="80" w:line="288" w:lineRule="auto"/>
        <w:widowControl w:val="1"/>
      </w:pPr>
      <w:r>
        <w:t>behavior drift — пользователи изменили способы запросов;</w:t>
      </w:r>
    </w:p>
    <w:p>
      <w:pPr>
        <w:pStyle w:val="ListBullet"/>
        <w:spacing w:after="80" w:line="288" w:lineRule="auto"/>
        <w:widowControl w:val="1"/>
      </w:pPr>
      <w:r>
        <w:t>vendor drift — поставщик изменил модель или API;</w:t>
      </w:r>
    </w:p>
    <w:p>
      <w:pPr>
        <w:pStyle w:val="ListBullet"/>
        <w:spacing w:after="80" w:line="288" w:lineRule="auto"/>
        <w:widowControl w:val="1"/>
      </w:pPr>
      <w:r>
        <w:t>process drift — изменился бизнес-процесс.</w:t>
      </w:r>
    </w:p>
    <w:p>
      <w:pPr>
        <w:pStyle w:val="Heading2"/>
        <w:widowControl w:val="1"/>
      </w:pPr>
      <w:r>
        <w:t>8.2. Ритм контроля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2200"/>
        <w:gridCol w:w="7160"/>
      </w:tblGrid>
      <w:tr>
        <w:trPr>
          <w:tblHeader w:val="true"/>
        </w:trPr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Период</w:t>
            </w:r>
          </w:p>
        </w:tc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Контроль</w:t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Реальное время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Критические ошибки, доступность, безопасность.</w:t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Ежедневно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Стоимость, задержка, сбои, ручная очередь.</w:t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Еженедельно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Размеченная выборка, ошибки, новые сценарии.</w:t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Ежемесячно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KPI, TCO, тренды, база знаний, доступы.</w:t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Ежеквартально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Стратегическая ценность, риски, масштабирование.</w:t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По событию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Новая модель, регламент, интеграция или инцидент.</w:t>
            </w:r>
          </w:p>
        </w:tc>
      </w:tr>
    </w:tbl>
    <w:p>
      <w:pPr>
        <w:spacing w:after="40"/>
        <w:widowControl w:val="1"/>
      </w:pPr>
    </w:p>
    <w:p>
      <w:pPr>
        <w:widowControl w:val="1"/>
      </w:pPr>
      <w:r>
        <w:br w:type="page"/>
      </w:r>
    </w:p>
    <w:p>
      <w:pPr>
        <w:pStyle w:val="Heading1"/>
        <w:widowControl w:val="1"/>
      </w:pPr>
      <w:r>
        <w:t>9. Инциденты и непрерывность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1800"/>
        <w:gridCol w:w="4300"/>
        <w:gridCol w:w="3260"/>
      </w:tblGrid>
      <w:tr>
        <w:trPr>
          <w:tblHeader w:val="true"/>
        </w:trPr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Класс</w:t>
            </w:r>
          </w:p>
        </w:tc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Пример</w:t>
            </w:r>
          </w:p>
        </w:tc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Реакция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8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P1 Критический</w:t>
            </w:r>
          </w:p>
        </w:tc>
        <w:tc>
          <w:tcPr>
            <w:tcW w:type="dxa" w:w="4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Утечка, опасное действие, массовая недоступность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2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Немедленная остановка и эскалация.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8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P2 Высокий</w:t>
            </w:r>
          </w:p>
        </w:tc>
        <w:tc>
          <w:tcPr>
            <w:tcW w:type="dxa" w:w="4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Систематическая критическая ошибка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2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Ограничение функции, исправление по SLA.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8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P3 Средний</w:t>
            </w:r>
          </w:p>
        </w:tc>
        <w:tc>
          <w:tcPr>
            <w:tcW w:type="dxa" w:w="4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Локальная ошибка без серьёзного последствия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2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Обходной путь и плановое исправление.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8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P4 Низкий</w:t>
            </w:r>
          </w:p>
        </w:tc>
        <w:tc>
          <w:tcPr>
            <w:tcW w:type="dxa" w:w="4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Стиль, удобство, некритичная неточность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2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Бэклог улучшений.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9.1. Runbook</w:t>
      </w:r>
    </w:p>
    <w:p>
      <w:pPr>
        <w:pStyle w:val="ListNumber"/>
        <w:numPr>
          <w:ilvl w:val="0"/>
          <w:numId w:val="12"/>
        </w:numPr>
        <w:spacing w:after="80"/>
        <w:widowControl w:val="1"/>
      </w:pPr>
      <w:r>
        <w:t>обнаружить и зарегистрировать;</w:t>
      </w:r>
    </w:p>
    <w:p>
      <w:pPr>
        <w:pStyle w:val="ListNumber"/>
        <w:numPr>
          <w:ilvl w:val="0"/>
          <w:numId w:val="12"/>
        </w:numPr>
        <w:spacing w:after="80"/>
        <w:widowControl w:val="1"/>
      </w:pPr>
      <w:r>
        <w:t>оценить критичность и затронутый scope;</w:t>
      </w:r>
    </w:p>
    <w:p>
      <w:pPr>
        <w:pStyle w:val="ListNumber"/>
        <w:numPr>
          <w:ilvl w:val="0"/>
          <w:numId w:val="12"/>
        </w:numPr>
        <w:spacing w:after="80"/>
        <w:widowControl w:val="1"/>
      </w:pPr>
      <w:r>
        <w:t>ограничить последствия;</w:t>
      </w:r>
    </w:p>
    <w:p>
      <w:pPr>
        <w:pStyle w:val="ListNumber"/>
        <w:numPr>
          <w:ilvl w:val="0"/>
          <w:numId w:val="12"/>
        </w:numPr>
        <w:spacing w:after="80"/>
        <w:widowControl w:val="1"/>
      </w:pPr>
      <w:r>
        <w:t>переключить на безопасный режим;</w:t>
      </w:r>
    </w:p>
    <w:p>
      <w:pPr>
        <w:pStyle w:val="ListNumber"/>
        <w:numPr>
          <w:ilvl w:val="0"/>
          <w:numId w:val="12"/>
        </w:numPr>
        <w:spacing w:after="80"/>
        <w:widowControl w:val="1"/>
      </w:pPr>
      <w:r>
        <w:t>сохранить логи и версии;</w:t>
      </w:r>
    </w:p>
    <w:p>
      <w:pPr>
        <w:pStyle w:val="ListNumber"/>
        <w:numPr>
          <w:ilvl w:val="0"/>
          <w:numId w:val="12"/>
        </w:numPr>
        <w:spacing w:after="80"/>
        <w:widowControl w:val="1"/>
      </w:pPr>
      <w:r>
        <w:t>уведомить владельцев;</w:t>
      </w:r>
    </w:p>
    <w:p>
      <w:pPr>
        <w:pStyle w:val="ListNumber"/>
        <w:numPr>
          <w:ilvl w:val="0"/>
          <w:numId w:val="12"/>
        </w:numPr>
        <w:spacing w:after="80"/>
        <w:widowControl w:val="1"/>
      </w:pPr>
      <w:r>
        <w:t>устранить причину и проверить исправление;</w:t>
      </w:r>
    </w:p>
    <w:p>
      <w:pPr>
        <w:pStyle w:val="ListNumber"/>
        <w:numPr>
          <w:ilvl w:val="0"/>
          <w:numId w:val="12"/>
        </w:numPr>
        <w:spacing w:after="80"/>
        <w:widowControl w:val="1"/>
      </w:pPr>
      <w:r>
        <w:t>провести postmortem без поиска виноватого;</w:t>
      </w:r>
    </w:p>
    <w:p>
      <w:pPr>
        <w:pStyle w:val="ListNumber"/>
        <w:numPr>
          <w:ilvl w:val="0"/>
          <w:numId w:val="12"/>
        </w:numPr>
        <w:spacing w:after="80"/>
        <w:widowControl w:val="1"/>
      </w:pPr>
      <w:r>
        <w:t>добавить случай в регрессионный набор.</w:t>
      </w:r>
    </w:p>
    <w:p>
      <w:pPr>
        <w:pStyle w:val="Heading2"/>
        <w:widowControl w:val="1"/>
      </w:pPr>
      <w:r>
        <w:t>9.2. Непрерывность</w:t>
      </w:r>
    </w:p>
    <w:p>
      <w:pPr>
        <w:spacing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Для каждого критического компонента определяются RTO, RPO, резервный режим и владелец. Fallback к другому поставщику модели допустим только после проверки качества, безопасности, договорных условий и допустимости передачи данных.</w:t>
      </w:r>
    </w:p>
    <w:p>
      <w:pPr>
        <w:pStyle w:val="Heading1"/>
        <w:widowControl w:val="1"/>
      </w:pPr>
      <w:r>
        <w:t>10. Безопасность и управление</w:t>
      </w:r>
    </w:p>
    <w:p>
      <w:pPr>
        <w:pStyle w:val="Heading2"/>
        <w:widowControl w:val="1"/>
      </w:pPr>
      <w:r>
        <w:t>10.1. Минимальные контролы</w:t>
      </w:r>
    </w:p>
    <w:p>
      <w:pPr>
        <w:pStyle w:val="ListBullet"/>
        <w:spacing w:after="80" w:line="288" w:lineRule="auto"/>
        <w:widowControl w:val="1"/>
      </w:pPr>
      <w:r>
        <w:t>наименьшие привилегии и ролевая модель;</w:t>
      </w:r>
    </w:p>
    <w:p>
      <w:pPr>
        <w:pStyle w:val="ListBullet"/>
        <w:spacing w:after="80" w:line="288" w:lineRule="auto"/>
        <w:widowControl w:val="1"/>
      </w:pPr>
      <w:r>
        <w:t>разделение тестовой и промышленной среды;</w:t>
      </w:r>
    </w:p>
    <w:p>
      <w:pPr>
        <w:pStyle w:val="ListBullet"/>
        <w:spacing w:after="80" w:line="288" w:lineRule="auto"/>
        <w:widowControl w:val="1"/>
      </w:pPr>
      <w:r>
        <w:t>хранилище секретов вместо передачи ключей;</w:t>
      </w:r>
    </w:p>
    <w:p>
      <w:pPr>
        <w:pStyle w:val="ListBullet"/>
        <w:spacing w:after="80" w:line="288" w:lineRule="auto"/>
        <w:widowControl w:val="1"/>
      </w:pPr>
      <w:r>
        <w:t>проверка файлов и входных данных;</w:t>
      </w:r>
    </w:p>
    <w:p>
      <w:pPr>
        <w:pStyle w:val="ListBullet"/>
        <w:spacing w:after="80" w:line="288" w:lineRule="auto"/>
        <w:widowControl w:val="1"/>
      </w:pPr>
      <w:r>
        <w:t>защита от prompt injection и data exfiltration;</w:t>
      </w:r>
    </w:p>
    <w:p>
      <w:pPr>
        <w:pStyle w:val="ListBullet"/>
        <w:spacing w:after="80" w:line="288" w:lineRule="auto"/>
        <w:widowControl w:val="1"/>
      </w:pPr>
      <w:r>
        <w:t>фильтрация знаний по правам доступа;</w:t>
      </w:r>
    </w:p>
    <w:p>
      <w:pPr>
        <w:pStyle w:val="ListBullet"/>
        <w:spacing w:after="80" w:line="288" w:lineRule="auto"/>
        <w:widowControl w:val="1"/>
      </w:pPr>
      <w:r>
        <w:t>неизменяемый аудит значимых действий;</w:t>
      </w:r>
    </w:p>
    <w:p>
      <w:pPr>
        <w:pStyle w:val="ListBullet"/>
        <w:spacing w:after="80" w:line="288" w:lineRule="auto"/>
        <w:widowControl w:val="1"/>
      </w:pPr>
      <w:r>
        <w:t>подтверждение человеком критических операций;</w:t>
      </w:r>
    </w:p>
    <w:p>
      <w:pPr>
        <w:pStyle w:val="ListBullet"/>
        <w:spacing w:after="80" w:line="288" w:lineRule="auto"/>
        <w:widowControl w:val="1"/>
      </w:pPr>
      <w:r>
        <w:t>периодический пересмотр поставщиков и субподрядчиков;</w:t>
      </w:r>
    </w:p>
    <w:p>
      <w:pPr>
        <w:pStyle w:val="ListBullet"/>
        <w:spacing w:after="80" w:line="288" w:lineRule="auto"/>
        <w:widowControl w:val="1"/>
      </w:pPr>
      <w:r>
        <w:t>процедура удаления и экспорта данных.</w:t>
      </w:r>
    </w:p>
    <w:p>
      <w:pPr>
        <w:pStyle w:val="Heading2"/>
        <w:widowControl w:val="1"/>
      </w:pPr>
      <w:r>
        <w:t>10.2. Управленческие роли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Роль</w:t>
            </w:r>
          </w:p>
        </w:tc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Ответственность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Спонсор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Ценность, бюджет, принятие остаточного риска.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Владелец процесса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Baseline, изменение процесса, реализация выгоды.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Product/Project owner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Scope, приоритеты, решение по релизу.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AI/ML owner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Качество модели, тесты, версии.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Data owner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Право использования, качество и актуальность данных.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ИБ/Privacy/Legal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Контроли, соответствие, инциденты.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Operations/Support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SLA, мониторинг, восстановление.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Пользователь-эксперт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Эталон, проверка и обратная связь.</w:t>
            </w:r>
          </w:p>
        </w:tc>
      </w:tr>
    </w:tbl>
    <w:p>
      <w:pPr>
        <w:spacing w:after="40"/>
        <w:widowControl w:val="1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4F8FB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 xml:space="preserve">Ответственность. </w:t>
            </w:r>
            <w:r>
              <w:rPr>
                <w:rFonts w:ascii="Calibri" w:hAnsi="Calibri"/>
                <w:b w:val="0"/>
                <w:i w:val="0"/>
                <w:sz w:val="22"/>
              </w:rPr>
              <w:t>Модель не является владельцем решения. Ответственность должна быть закреплена за конкретными организационными ролями.</w:t>
            </w:r>
          </w:p>
        </w:tc>
      </w:tr>
    </w:tbl>
    <w:p>
      <w:pPr>
        <w:spacing w:after="40"/>
        <w:widowControl w:val="1"/>
      </w:pPr>
    </w:p>
    <w:p>
      <w:pPr>
        <w:widowControl w:val="1"/>
      </w:pPr>
      <w:r>
        <w:br w:type="page"/>
      </w:r>
    </w:p>
    <w:p>
      <w:pPr>
        <w:pStyle w:val="Heading1"/>
        <w:widowControl w:val="1"/>
      </w:pPr>
      <w:r>
        <w:t>11. Передача заказчику</w:t>
      </w:r>
    </w:p>
    <w:p>
      <w:pPr>
        <w:pStyle w:val="Heading2"/>
        <w:widowControl w:val="1"/>
      </w:pPr>
      <w:r>
        <w:t>11.1. Пакет передачи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2300"/>
        <w:gridCol w:w="7060"/>
      </w:tblGrid>
      <w:tr>
        <w:trPr>
          <w:tblHeader w:val="true"/>
        </w:trPr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Блок</w:t>
            </w:r>
          </w:p>
        </w:tc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Содержание</w:t>
            </w:r>
          </w:p>
        </w:tc>
      </w:tr>
      <w:t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Управление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Паспорт системы, владельцы, scope, запреты.</w:t>
            </w:r>
          </w:p>
        </w:tc>
      </w:tr>
      <w:t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Архитектура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Схемы, компоненты, интеграции, зависимости.</w:t>
            </w:r>
          </w:p>
        </w:tc>
      </w:tr>
      <w:t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Данные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Реестр, происхождение, права, сроки хранения.</w:t>
            </w:r>
          </w:p>
        </w:tc>
      </w:tr>
      <w:t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Качество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Метрики, наборы тестов, отчёты, ограничения.</w:t>
            </w:r>
          </w:p>
        </w:tc>
      </w:tr>
      <w:t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Эксплуатация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Runbook, мониторинг, алерты, резервный режим.</w:t>
            </w:r>
          </w:p>
        </w:tc>
      </w:tr>
      <w:t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Безопасность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Угрозы, доступы, аудит, инциденты.</w:t>
            </w:r>
          </w:p>
        </w:tc>
      </w:tr>
      <w:t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Пользователи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Инструкция, обучение, эскалация.</w:t>
            </w:r>
          </w:p>
        </w:tc>
      </w:tr>
      <w:t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Изменения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Версии, release notes, change request.</w:t>
            </w:r>
          </w:p>
        </w:tc>
      </w:tr>
      <w:t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Коммерция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SLA, поддержка, лицензии, лимиты.</w:t>
            </w:r>
          </w:p>
        </w:tc>
      </w:tr>
      <w:t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Завершение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7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Акт, отзыв временных доступов, передача владельцам.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11.2. Доступы и секреты</w:t>
      </w:r>
    </w:p>
    <w:p>
      <w:pPr>
        <w:pStyle w:val="ListBullet"/>
        <w:spacing w:after="80" w:line="288" w:lineRule="auto"/>
        <w:widowControl w:val="1"/>
      </w:pPr>
      <w:r>
        <w:t>заказчик создаёт собственные учётные записи;</w:t>
      </w:r>
    </w:p>
    <w:p>
      <w:pPr>
        <w:pStyle w:val="ListBullet"/>
        <w:spacing w:after="80" w:line="288" w:lineRule="auto"/>
        <w:widowControl w:val="1"/>
      </w:pPr>
      <w:r>
        <w:t>ключи перевыпускаются после передачи;</w:t>
      </w:r>
    </w:p>
    <w:p>
      <w:pPr>
        <w:pStyle w:val="ListBullet"/>
        <w:spacing w:after="80" w:line="288" w:lineRule="auto"/>
        <w:widowControl w:val="1"/>
      </w:pPr>
      <w:r>
        <w:t>доступы исполнителя отзываются или ограничиваются;</w:t>
      </w:r>
    </w:p>
    <w:p>
      <w:pPr>
        <w:pStyle w:val="ListBullet"/>
        <w:spacing w:after="80" w:line="288" w:lineRule="auto"/>
        <w:widowControl w:val="1"/>
      </w:pPr>
      <w:r>
        <w:t>секреты хранятся в предназначенном хранилище;</w:t>
      </w:r>
    </w:p>
    <w:p>
      <w:pPr>
        <w:pStyle w:val="ListBullet"/>
        <w:spacing w:after="80" w:line="288" w:lineRule="auto"/>
        <w:widowControl w:val="1"/>
      </w:pPr>
      <w:r>
        <w:t>права проверяются по матрице;</w:t>
      </w:r>
    </w:p>
    <w:p>
      <w:pPr>
        <w:pStyle w:val="ListBullet"/>
        <w:spacing w:after="80" w:line="288" w:lineRule="auto"/>
        <w:widowControl w:val="1"/>
      </w:pPr>
      <w:r>
        <w:t>сохраняется журнал выдачи и отзыва.</w:t>
      </w:r>
    </w:p>
    <w:p>
      <w:pPr>
        <w:pStyle w:val="Heading2"/>
        <w:widowControl w:val="1"/>
      </w:pPr>
      <w:r>
        <w:t>11.3. Обучение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Аудитория</w:t>
            </w:r>
          </w:p>
        </w:tc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Что должна уметь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Пользователь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Понимать результат, ограничения и эскалацию.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Эксперт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Проверять, исправлять и размечать ошибки.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Руководитель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Читать метрики и принимать Go/No-Go.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Администратор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Управлять знаниями, версиями и доступами.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Поддержка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8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Диагностировать, откатывать и эскалировать.</w:t>
            </w:r>
          </w:p>
        </w:tc>
      </w:tr>
    </w:tbl>
    <w:p>
      <w:pPr>
        <w:spacing w:after="40"/>
        <w:widowControl w:val="1"/>
      </w:pPr>
    </w:p>
    <w:p>
      <w:pPr>
        <w:pStyle w:val="Heading1"/>
        <w:widowControl w:val="1"/>
      </w:pPr>
      <w:r>
        <w:t>12. SLA и сопровождение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2600"/>
        <w:gridCol w:w="6760"/>
      </w:tblGrid>
      <w:tr>
        <w:trPr>
          <w:tblHeader w:val="true"/>
        </w:trPr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Элемент SLA</w:t>
            </w:r>
          </w:p>
        </w:tc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Что определить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Сервисное время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24×7 или рабочие часы и часовой пояс.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Доступность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Формула, исключения, плановые работы.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Severity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Критерии P1–P4.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Реакция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Время подтверждения инцидента.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Восстановление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Целевое время или workaround.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RTO/RPO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Допустимый простой и потеря данных.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Каналы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Утверждённый Service Desk и эскалация.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Доработки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Что входит, лимит и Change Request.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Отчётность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Период, KPI, инциденты, стоимость.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Выход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Передача, экспорт, удаление, переходный период.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12.1. Поддержка не равна “8 доработкам”</w:t>
      </w:r>
    </w:p>
    <w:p>
      <w:pPr>
        <w:spacing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Объём изменений лучше определять часами, story points или классами работ. Формулировка «8 доработок» неоднозначна: исправление текста и новая интеграция несопоставимы.</w:t>
      </w:r>
    </w:p>
    <w:p>
      <w:pPr>
        <w:pStyle w:val="Heading2"/>
        <w:widowControl w:val="1"/>
      </w:pPr>
      <w:r>
        <w:t>12.2. Развитие решения</w:t>
      </w:r>
    </w:p>
    <w:p>
      <w:pPr>
        <w:spacing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Новая функция оформляется через Change Request: бизнес-цель, scope, данные, риски, метрики, цена, срок и влияние на SLA. Дополнительная продажа оправдана только доказанной ценностью, а не самим фактом технической возможности.</w:t>
      </w:r>
    </w:p>
    <w:p>
      <w:pPr>
        <w:widowControl w:val="1"/>
      </w:pPr>
      <w:r>
        <w:br w:type="page"/>
      </w:r>
    </w:p>
    <w:p>
      <w:pPr>
        <w:pStyle w:val="Heading1"/>
        <w:widowControl w:val="1"/>
      </w:pPr>
      <w:r>
        <w:t>13. Экономика и реализация выгод</w:t>
      </w:r>
    </w:p>
    <w:p>
      <w:pPr>
        <w:pStyle w:val="Heading2"/>
        <w:widowControl w:val="1"/>
      </w:pPr>
      <w:r>
        <w:t>13.1. Полная стоимость владения</w:t>
      </w:r>
    </w:p>
    <w:p>
      <w:pPr>
        <w:spacing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TCO включает разработку, интеграции, лицензии/API, инфраструктуру, данные, безопасность, контроль качества, обучение, сопровождение, изменения и стоимость инцидентов.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3300"/>
        <w:gridCol w:w="6060"/>
      </w:tblGrid>
      <w:tr>
        <w:trPr>
          <w:tblHeader w:val="true"/>
        </w:trPr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Показатель</w:t>
            </w:r>
          </w:p>
        </w:tc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Формула / смысл</w:t>
            </w:r>
          </w:p>
        </w:tc>
      </w:tr>
      <w:tr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TCO</w:t>
            </w:r>
          </w:p>
        </w:tc>
        <w:tc>
          <w:tcPr>
            <w:tcW w:type="dxa" w:w="6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Все затраты за выбранный период.</w:t>
            </w:r>
          </w:p>
        </w:tc>
      </w:tr>
      <w:tr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Payback</w:t>
            </w:r>
          </w:p>
        </w:tc>
        <w:tc>
          <w:tcPr>
            <w:tcW w:type="dxa" w:w="6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Начальные вложения / ежемесячный чистый эффект.</w:t>
            </w:r>
          </w:p>
        </w:tc>
      </w:tr>
      <w:tr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ROI</w:t>
            </w:r>
          </w:p>
        </w:tc>
        <w:tc>
          <w:tcPr>
            <w:tcW w:type="dxa" w:w="6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(Выгоды − затраты) / затраты × 100%.</w:t>
            </w:r>
          </w:p>
        </w:tc>
      </w:tr>
      <w:tr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Стоимость операции</w:t>
            </w:r>
          </w:p>
        </w:tc>
        <w:tc>
          <w:tcPr>
            <w:tcW w:type="dxa" w:w="6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Общие расходы / число успешно обработанных единиц.</w:t>
            </w:r>
          </w:p>
        </w:tc>
      </w:tr>
      <w:tr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Реализованная выгода</w:t>
            </w:r>
          </w:p>
        </w:tc>
        <w:tc>
          <w:tcPr>
            <w:tcW w:type="dxa" w:w="6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Подтверждённое изменение процесса, а не прогноз.</w:t>
            </w:r>
          </w:p>
        </w:tc>
      </w:tr>
      <w:tr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Риск-скорректированный эффект</w:t>
            </w:r>
          </w:p>
        </w:tc>
        <w:tc>
          <w:tcPr>
            <w:tcW w:type="dxa" w:w="6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Эффект с учётом вероятности и цены ошибки.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13.2. Benefit register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1900"/>
        <w:gridCol w:w="1300"/>
        <w:gridCol w:w="1300"/>
        <w:gridCol w:w="1700"/>
        <w:gridCol w:w="1700"/>
        <w:gridCol w:w="1460"/>
      </w:tblGrid>
      <w:tr>
        <w:trPr>
          <w:tblHeader w:val="true"/>
        </w:trPr>
        <w:tc>
          <w:tcPr>
            <w:tcW w:type="dxa" w:w="156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Выгода</w:t>
            </w:r>
          </w:p>
        </w:tc>
        <w:tc>
          <w:tcPr>
            <w:tcW w:type="dxa" w:w="156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Baseline</w:t>
            </w:r>
          </w:p>
        </w:tc>
        <w:tc>
          <w:tcPr>
            <w:tcW w:type="dxa" w:w="156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Цель</w:t>
            </w:r>
          </w:p>
        </w:tc>
        <w:tc>
          <w:tcPr>
            <w:tcW w:type="dxa" w:w="156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Владелец</w:t>
            </w:r>
          </w:p>
        </w:tc>
        <w:tc>
          <w:tcPr>
            <w:tcW w:type="dxa" w:w="156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Источник</w:t>
            </w:r>
          </w:p>
        </w:tc>
        <w:tc>
          <w:tcPr>
            <w:tcW w:type="dxa" w:w="156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Дата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9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Время цикла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7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7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</w:t>
            </w:r>
          </w:p>
        </w:tc>
        <w:tc>
          <w:tcPr>
            <w:tcW w:type="dxa" w:w="1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4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9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Стоимость операции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7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7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</w:t>
            </w:r>
          </w:p>
        </w:tc>
        <w:tc>
          <w:tcPr>
            <w:tcW w:type="dxa" w:w="1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4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9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Качество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7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7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</w:t>
            </w:r>
          </w:p>
        </w:tc>
        <w:tc>
          <w:tcPr>
            <w:tcW w:type="dxa" w:w="1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4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9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Пропускная способность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7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7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</w:t>
            </w:r>
          </w:p>
        </w:tc>
        <w:tc>
          <w:tcPr>
            <w:tcW w:type="dxa" w:w="1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14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</w:t>
            </w:r>
          </w:p>
        </w:tc>
      </w:tr>
    </w:tbl>
    <w:p>
      <w:pPr>
        <w:spacing w:after="40"/>
        <w:widowControl w:val="1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4F8FB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22"/>
              </w:rPr>
              <w:t xml:space="preserve">Правило. </w:t>
            </w:r>
            <w:r>
              <w:rPr>
                <w:rFonts w:ascii="Calibri" w:hAnsi="Calibri"/>
                <w:b w:val="0"/>
                <w:i w:val="0"/>
                <w:sz w:val="22"/>
              </w:rPr>
              <w:t>Проект может быть технически успешным и экономически неуспешным. Выгоды измеряются после внедрения и подтверждаются владельцем процесса.</w:t>
            </w:r>
          </w:p>
        </w:tc>
      </w:tr>
    </w:tbl>
    <w:p>
      <w:pPr>
        <w:spacing w:after="40"/>
        <w:widowControl w:val="1"/>
      </w:pPr>
    </w:p>
    <w:p>
      <w:pPr>
        <w:pStyle w:val="Heading1"/>
        <w:widowControl w:val="1"/>
      </w:pPr>
      <w:r>
        <w:t>14. Рабочие шаблоны и чек-листы</w:t>
      </w:r>
    </w:p>
    <w:p>
      <w:pPr>
        <w:pStyle w:val="Heading2"/>
        <w:widowControl w:val="1"/>
      </w:pPr>
      <w:r>
        <w:t>14.1. Карточка Go/No-Go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3300"/>
        <w:gridCol w:w="6060"/>
      </w:tblGrid>
      <w:tr>
        <w:trPr>
          <w:tblHeader w:val="true"/>
        </w:trPr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Поле</w:t>
            </w:r>
          </w:p>
        </w:tc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Решение</w:t>
            </w:r>
          </w:p>
        </w:tc>
      </w:tr>
      <w:tr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Период и выборка</w:t>
            </w:r>
          </w:p>
        </w:tc>
        <w:tc>
          <w:tcPr>
            <w:tcW w:type="dxa" w:w="6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____________________________</w:t>
            </w:r>
          </w:p>
        </w:tc>
      </w:tr>
      <w:tr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Primary-метрика</w:t>
            </w:r>
          </w:p>
        </w:tc>
        <w:tc>
          <w:tcPr>
            <w:tcW w:type="dxa" w:w="6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План ___ / факт ___</w:t>
            </w:r>
          </w:p>
        </w:tc>
      </w:tr>
      <w:tr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Guard-метрики</w:t>
            </w:r>
          </w:p>
        </w:tc>
        <w:tc>
          <w:tcPr>
            <w:tcW w:type="dxa" w:w="6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План ___ / факт ___</w:t>
            </w:r>
          </w:p>
        </w:tc>
      </w:tr>
      <w:tr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Операционные показатели</w:t>
            </w:r>
          </w:p>
        </w:tc>
        <w:tc>
          <w:tcPr>
            <w:tcW w:type="dxa" w:w="6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____________________________</w:t>
            </w:r>
          </w:p>
        </w:tc>
      </w:tr>
      <w:tr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Фактический TCO</w:t>
            </w:r>
          </w:p>
        </w:tc>
        <w:tc>
          <w:tcPr>
            <w:tcW w:type="dxa" w:w="6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____________________________</w:t>
            </w:r>
          </w:p>
        </w:tc>
      </w:tr>
      <w:tr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Инциденты</w:t>
            </w:r>
          </w:p>
        </w:tc>
        <w:tc>
          <w:tcPr>
            <w:tcW w:type="dxa" w:w="6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____________________________</w:t>
            </w:r>
          </w:p>
        </w:tc>
      </w:tr>
      <w:tr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Обратная связь</w:t>
            </w:r>
          </w:p>
        </w:tc>
        <w:tc>
          <w:tcPr>
            <w:tcW w:type="dxa" w:w="6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____________________________</w:t>
            </w:r>
          </w:p>
        </w:tc>
      </w:tr>
      <w:tr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Остаточный риск</w:t>
            </w:r>
          </w:p>
        </w:tc>
        <w:tc>
          <w:tcPr>
            <w:tcW w:type="dxa" w:w="6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____________________________</w:t>
            </w:r>
          </w:p>
        </w:tc>
      </w:tr>
      <w:tr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Решение</w:t>
            </w:r>
          </w:p>
        </w:tc>
        <w:tc>
          <w:tcPr>
            <w:tcW w:type="dxa" w:w="6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GO / EXTEND / REDESIGN / STOP</w:t>
            </w:r>
          </w:p>
        </w:tc>
      </w:tr>
      <w:tr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3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Владелец и дата</w:t>
            </w:r>
          </w:p>
        </w:tc>
        <w:tc>
          <w:tcPr>
            <w:tcW w:type="dxa" w:w="6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0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____________________________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14.2. Чек-лист передачи</w:t>
      </w:r>
    </w:p>
    <w:p>
      <w:pPr>
        <w:pStyle w:val="ListBullet"/>
        <w:spacing w:after="80" w:line="288" w:lineRule="auto"/>
        <w:widowControl w:val="1"/>
      </w:pPr>
      <w:r>
        <w:t>☐ паспорт и границы;</w:t>
      </w:r>
    </w:p>
    <w:p>
      <w:pPr>
        <w:pStyle w:val="ListBullet"/>
        <w:spacing w:after="80" w:line="288" w:lineRule="auto"/>
        <w:widowControl w:val="1"/>
      </w:pPr>
      <w:r>
        <w:t>☐ архитектура и зависимости;</w:t>
      </w:r>
    </w:p>
    <w:p>
      <w:pPr>
        <w:pStyle w:val="ListBullet"/>
        <w:spacing w:after="80" w:line="288" w:lineRule="auto"/>
        <w:widowControl w:val="1"/>
      </w:pPr>
      <w:r>
        <w:t>☐ доступы перевыпущены;</w:t>
      </w:r>
    </w:p>
    <w:p>
      <w:pPr>
        <w:pStyle w:val="ListBullet"/>
        <w:spacing w:after="80" w:line="288" w:lineRule="auto"/>
        <w:widowControl w:val="1"/>
      </w:pPr>
      <w:r>
        <w:t>☐ наборы тестов переданы;</w:t>
      </w:r>
    </w:p>
    <w:p>
      <w:pPr>
        <w:pStyle w:val="ListBullet"/>
        <w:spacing w:after="80" w:line="288" w:lineRule="auto"/>
        <w:widowControl w:val="1"/>
      </w:pPr>
      <w:r>
        <w:t>☐ мониторинг и алерты работают;</w:t>
      </w:r>
    </w:p>
    <w:p>
      <w:pPr>
        <w:pStyle w:val="ListBullet"/>
        <w:spacing w:after="80" w:line="288" w:lineRule="auto"/>
        <w:widowControl w:val="1"/>
      </w:pPr>
      <w:r>
        <w:t>☐ откат отрепетирован;</w:t>
      </w:r>
    </w:p>
    <w:p>
      <w:pPr>
        <w:pStyle w:val="ListBullet"/>
        <w:spacing w:after="80" w:line="288" w:lineRule="auto"/>
        <w:widowControl w:val="1"/>
      </w:pPr>
      <w:r>
        <w:t>☐ runbook и SLA согласованы;</w:t>
      </w:r>
    </w:p>
    <w:p>
      <w:pPr>
        <w:pStyle w:val="ListBullet"/>
        <w:spacing w:after="80" w:line="288" w:lineRule="auto"/>
        <w:widowControl w:val="1"/>
      </w:pPr>
      <w:r>
        <w:t>☐ пользователи обучены;</w:t>
      </w:r>
    </w:p>
    <w:p>
      <w:pPr>
        <w:pStyle w:val="ListBullet"/>
        <w:spacing w:after="80" w:line="288" w:lineRule="auto"/>
        <w:widowControl w:val="1"/>
      </w:pPr>
      <w:r>
        <w:t>☐ владельцы приняли ответственность;</w:t>
      </w:r>
    </w:p>
    <w:p>
      <w:pPr>
        <w:pStyle w:val="ListBullet"/>
        <w:spacing w:after="80" w:line="288" w:lineRule="auto"/>
        <w:widowControl w:val="1"/>
      </w:pPr>
      <w:r>
        <w:t>☐ акт и остаточные ограничения зафиксированы.</w:t>
      </w:r>
    </w:p>
    <w:p>
      <w:pPr>
        <w:pStyle w:val="Heading2"/>
        <w:widowControl w:val="1"/>
      </w:pPr>
      <w:r>
        <w:t>14.3. Чек-лист ежемесячного review</w:t>
      </w:r>
    </w:p>
    <w:p>
      <w:pPr>
        <w:pStyle w:val="ListBullet"/>
        <w:spacing w:after="80" w:line="288" w:lineRule="auto"/>
        <w:widowControl w:val="1"/>
      </w:pPr>
      <w:r>
        <w:t>☐ Primary и Guard-метрики;</w:t>
      </w:r>
    </w:p>
    <w:p>
      <w:pPr>
        <w:pStyle w:val="ListBullet"/>
        <w:spacing w:after="80" w:line="288" w:lineRule="auto"/>
        <w:widowControl w:val="1"/>
      </w:pPr>
      <w:r>
        <w:t>☐ инциденты и повторяющиеся ошибки;</w:t>
      </w:r>
    </w:p>
    <w:p>
      <w:pPr>
        <w:pStyle w:val="ListBullet"/>
        <w:spacing w:after="80" w:line="288" w:lineRule="auto"/>
        <w:widowControl w:val="1"/>
      </w:pPr>
      <w:r>
        <w:t>☐ дрейф данных и знаний;</w:t>
      </w:r>
    </w:p>
    <w:p>
      <w:pPr>
        <w:pStyle w:val="ListBullet"/>
        <w:spacing w:after="80" w:line="288" w:lineRule="auto"/>
        <w:widowControl w:val="1"/>
      </w:pPr>
      <w:r>
        <w:t>☐ изменения поставщиков;</w:t>
      </w:r>
    </w:p>
    <w:p>
      <w:pPr>
        <w:pStyle w:val="ListBullet"/>
        <w:spacing w:after="80" w:line="288" w:lineRule="auto"/>
        <w:widowControl w:val="1"/>
      </w:pPr>
      <w:r>
        <w:t>☐ стоимость и лимиты;</w:t>
      </w:r>
    </w:p>
    <w:p>
      <w:pPr>
        <w:pStyle w:val="ListBullet"/>
        <w:spacing w:after="80" w:line="288" w:lineRule="auto"/>
        <w:widowControl w:val="1"/>
      </w:pPr>
      <w:r>
        <w:t>☐ реализованные выгоды;</w:t>
      </w:r>
    </w:p>
    <w:p>
      <w:pPr>
        <w:pStyle w:val="ListBullet"/>
        <w:spacing w:after="80" w:line="288" w:lineRule="auto"/>
        <w:widowControl w:val="1"/>
      </w:pPr>
      <w:r>
        <w:t>☐ новые риски и требования;</w:t>
      </w:r>
    </w:p>
    <w:p>
      <w:pPr>
        <w:pStyle w:val="ListBullet"/>
        <w:spacing w:after="80" w:line="288" w:lineRule="auto"/>
        <w:widowControl w:val="1"/>
      </w:pPr>
      <w:r>
        <w:t>☐ решение по изменениям.</w:t>
      </w:r>
    </w:p>
    <w:p>
      <w:pPr>
        <w:widowControl w:val="1"/>
      </w:pPr>
      <w:r>
        <w:br w:type="page"/>
      </w:r>
    </w:p>
    <w:p>
      <w:pPr>
        <w:pStyle w:val="Heading1"/>
        <w:widowControl w:val="1"/>
      </w:pPr>
      <w:r>
        <w:t>15. Обзор литературы и современные данные</w:t>
      </w:r>
    </w:p>
    <w:p>
      <w:pPr>
        <w:pStyle w:val="Heading2"/>
        <w:widowControl w:val="1"/>
      </w:pPr>
      <w:r>
        <w:t>15.1. Основные направления литературы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2600"/>
        <w:gridCol w:w="6760"/>
      </w:tblGrid>
      <w:tr>
        <w:trPr>
          <w:tblHeader w:val="true"/>
        </w:trPr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Направление</w:t>
            </w:r>
          </w:p>
        </w:tc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Ключевой вклад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Эксперименты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Рандомизация, MDE, причинный эффект, guardrails.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ML production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Тестирование данных, моделей и инфраструктуры.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Technical debt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Системные зависимости и долгосрочная поддерживаемость.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LLM evaluation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Многомерная оценка сценариев, качества и риска.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RAG evaluation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Раздельная оценка retrieval, контекста и генерации.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Documentation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Model Cards, Datasheets, прозрачность ограничений.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Governance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NIST AI RMF, ISO 42001, роли и непрерывное управление.</w:t>
            </w:r>
          </w:p>
        </w:tc>
      </w:tr>
      <w:t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6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Lifecycle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7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ISO 5338, управляемый жизненный цикл AI.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15.2. Современные данные на 2026 год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2500"/>
        <w:gridCol w:w="2200"/>
        <w:gridCol w:w="4660"/>
      </w:tblGrid>
      <w:tr>
        <w:trPr>
          <w:tblHeader w:val="true"/>
        </w:trPr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Показатель</w:t>
            </w:r>
          </w:p>
        </w:tc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Данные</w:t>
            </w:r>
          </w:p>
        </w:tc>
        <w:tc>
          <w:tcPr>
            <w:tcW w:type="dxa" w:w="31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Практический вывод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Организационное применение AI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88% опрошенных организаций в 2025 г.</w:t>
            </w:r>
          </w:p>
        </w:tc>
        <w:tc>
          <w:tcPr>
            <w:tcW w:type="dxa" w:w="4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6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Внедрение широко, зрелость неоднородна.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Генеративный AI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Около 70% используют хотя бы в одной функции.</w:t>
            </w:r>
          </w:p>
        </w:tc>
        <w:tc>
          <w:tcPr>
            <w:tcW w:type="dxa" w:w="4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6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Нужны стандартизированные контролы.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Личная производительность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80% отмечают улучшение.</w:t>
            </w:r>
          </w:p>
        </w:tc>
        <w:tc>
          <w:tcPr>
            <w:tcW w:type="dxa" w:w="4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6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Локальная польза не равна прибыли.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Вклад в прибыль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37% отмечают положительный вклад.</w:t>
            </w:r>
          </w:p>
        </w:tc>
        <w:tc>
          <w:tcPr>
            <w:tcW w:type="dxa" w:w="4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6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Нужно измерять реализованную выгоду.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AI-инциденты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362 против 233 в 2024 г.</w:t>
            </w:r>
          </w:p>
        </w:tc>
        <w:tc>
          <w:tcPr>
            <w:tcW w:type="dxa" w:w="4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6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Мониторинг и governance отстают.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5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Масштабирование агентов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40% крупных организаций против 27% годом ранее.</w:t>
            </w:r>
          </w:p>
        </w:tc>
        <w:tc>
          <w:tcPr>
            <w:tcW w:type="dxa" w:w="4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46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Автономность требует усиленного контроля.</w:t>
            </w:r>
          </w:p>
        </w:tc>
      </w:tr>
    </w:tbl>
    <w:p>
      <w:pPr>
        <w:spacing w:after="40"/>
        <w:widowControl w:val="1"/>
      </w:pPr>
    </w:p>
    <w:p>
      <w:pPr>
        <w:spacing w:after="120" w:line="300" w:lineRule="auto"/>
        <w:widowControl w:val="1"/>
      </w:pPr>
      <w:r>
        <w:rPr>
          <w:rFonts w:ascii="Calibri" w:hAnsi="Calibri"/>
          <w:b w:val="0"/>
          <w:i/>
          <w:color w:val="666666"/>
          <w:sz w:val="19"/>
        </w:rPr>
        <w:t>Источники показателей: Stanford AI Index 2026 и McKinsey State of AI 2026. Опросные данные отражают ответы респондентов и не являются универсальной оценкой эффективности каждой организации.</w:t>
      </w:r>
    </w:p>
    <w:p>
      <w:pPr>
        <w:spacing w:after="80"/>
        <w:widowControl w:val="1"/>
      </w:pPr>
      <w:r>
        <w:rPr>
          <w:rFonts w:ascii="Calibri" w:hAnsi="Calibri"/>
          <w:b/>
          <w:i w:val="0"/>
          <w:color w:val="666666"/>
          <w:sz w:val="18"/>
        </w:rPr>
        <w:t xml:space="preserve">Источник: </w:t>
      </w:r>
      <w:hyperlink r:id="rId11">
        <w:r>
          <w:rPr>
            <w:color w:val="2E74B5"/>
            <w:u w:val="single"/>
          </w:rPr>
          <w:t>Stanford AI Index 2026</w:t>
        </w:r>
      </w:hyperlink>
    </w:p>
    <w:p>
      <w:pPr>
        <w:spacing w:after="80"/>
        <w:widowControl w:val="1"/>
      </w:pPr>
      <w:r>
        <w:rPr>
          <w:rFonts w:ascii="Calibri" w:hAnsi="Calibri"/>
          <w:b/>
          <w:i w:val="0"/>
          <w:color w:val="666666"/>
          <w:sz w:val="18"/>
        </w:rPr>
        <w:t xml:space="preserve">Источник: </w:t>
      </w:r>
      <w:hyperlink r:id="rId12">
        <w:r>
          <w:rPr>
            <w:color w:val="2E74B5"/>
            <w:u w:val="single"/>
          </w:rPr>
          <w:t>McKinsey State of AI 2026</w:t>
        </w:r>
      </w:hyperlink>
    </w:p>
    <w:p>
      <w:pPr>
        <w:pStyle w:val="Heading2"/>
        <w:widowControl w:val="1"/>
      </w:pPr>
      <w:r>
        <w:t>15.3. Рекомендуемая литература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6200"/>
        <w:gridCol w:w="3160"/>
      </w:tblGrid>
      <w:tr>
        <w:trPr>
          <w:tblHeader w:val="true"/>
        </w:trPr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Работа</w:t>
            </w:r>
          </w:p>
        </w:tc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Практическое значение</w:t>
            </w:r>
          </w:p>
        </w:tc>
      </w:tr>
      <w:tr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Kohavi R. et al. Controlled Experiments on the Web. 2009.</w:t>
            </w:r>
          </w:p>
        </w:tc>
        <w:tc>
          <w:tcPr>
            <w:tcW w:type="dxa" w:w="3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Доказательное A/B-тестирование.</w:t>
            </w:r>
          </w:p>
        </w:tc>
      </w:tr>
      <w:tr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Sculley D. et al. Hidden Technical Debt in ML Systems. 2015.</w:t>
            </w:r>
          </w:p>
        </w:tc>
        <w:tc>
          <w:tcPr>
            <w:tcW w:type="dxa" w:w="3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Системный технический долг.</w:t>
            </w:r>
          </w:p>
        </w:tc>
      </w:tr>
      <w:tr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Breck E. et al. The ML Test Score. 2017.</w:t>
            </w:r>
          </w:p>
        </w:tc>
        <w:tc>
          <w:tcPr>
            <w:tcW w:type="dxa" w:w="3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Готовность ML к production.</w:t>
            </w:r>
          </w:p>
        </w:tc>
      </w:tr>
      <w:tr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Mitchell M. et al. Model Cards. 2019.</w:t>
            </w:r>
          </w:p>
        </w:tc>
        <w:tc>
          <w:tcPr>
            <w:tcW w:type="dxa" w:w="3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Документирование моделей.</w:t>
            </w:r>
          </w:p>
        </w:tc>
      </w:tr>
      <w:tr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Gebru T. et al. Datasheets for Datasets. 2021.</w:t>
            </w:r>
          </w:p>
        </w:tc>
        <w:tc>
          <w:tcPr>
            <w:tcW w:type="dxa" w:w="3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Документирование данных.</w:t>
            </w:r>
          </w:p>
        </w:tc>
      </w:tr>
      <w:tr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Liang P. et al. HELM. 2022.</w:t>
            </w:r>
          </w:p>
        </w:tc>
        <w:tc>
          <w:tcPr>
            <w:tcW w:type="dxa" w:w="3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Целостная оценка LLM.</w:t>
            </w:r>
          </w:p>
        </w:tc>
      </w:tr>
      <w:tr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Es S. et al. RAGAS. 2023.</w:t>
            </w:r>
          </w:p>
        </w:tc>
        <w:tc>
          <w:tcPr>
            <w:tcW w:type="dxa" w:w="3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Оценка RAG.</w:t>
            </w:r>
          </w:p>
        </w:tc>
      </w:tr>
      <w:tr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Gao Y. et al. RAG Survey. 2023.</w:t>
            </w:r>
          </w:p>
        </w:tc>
        <w:tc>
          <w:tcPr>
            <w:tcW w:type="dxa" w:w="3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Архитектура и развитие RAG.</w:t>
            </w:r>
          </w:p>
        </w:tc>
      </w:tr>
      <w:tr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NIST AI RMF 1.0. 2023.</w:t>
            </w:r>
          </w:p>
        </w:tc>
        <w:tc>
          <w:tcPr>
            <w:tcW w:type="dxa" w:w="3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Управление рисками.</w:t>
            </w:r>
          </w:p>
        </w:tc>
      </w:tr>
      <w:tr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2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NIST Generative AI Profile. 2024.</w:t>
            </w:r>
          </w:p>
        </w:tc>
        <w:tc>
          <w:tcPr>
            <w:tcW w:type="dxa" w:w="3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31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Риски генеративного AI.</w:t>
            </w:r>
          </w:p>
        </w:tc>
      </w:tr>
    </w:tbl>
    <w:p>
      <w:pPr>
        <w:spacing w:after="40"/>
        <w:widowControl w:val="1"/>
      </w:pPr>
    </w:p>
    <w:p>
      <w:pPr>
        <w:pStyle w:val="Heading2"/>
        <w:widowControl w:val="1"/>
      </w:pPr>
      <w:r>
        <w:t>15.4. Стандарты</w:t>
      </w:r>
    </w:p>
    <w:p>
      <w:pPr>
        <w:pStyle w:val="ListBullet"/>
        <w:spacing w:after="80" w:line="288" w:lineRule="auto"/>
        <w:widowControl w:val="1"/>
      </w:pPr>
      <w:r>
        <w:t>ISO/IEC 23894:2023 — управление рисками AI;</w:t>
      </w:r>
    </w:p>
    <w:p>
      <w:pPr>
        <w:pStyle w:val="ListBullet"/>
        <w:spacing w:after="80" w:line="288" w:lineRule="auto"/>
        <w:widowControl w:val="1"/>
      </w:pPr>
      <w:r>
        <w:t>ISO/IEC 25059:2023 — модель качества AI-систем;</w:t>
      </w:r>
    </w:p>
    <w:p>
      <w:pPr>
        <w:pStyle w:val="ListBullet"/>
        <w:spacing w:after="80" w:line="288" w:lineRule="auto"/>
        <w:widowControl w:val="1"/>
      </w:pPr>
      <w:r>
        <w:t>ISO/IEC 42001:2023 — система управления AI;</w:t>
      </w:r>
    </w:p>
    <w:p>
      <w:pPr>
        <w:pStyle w:val="ListBullet"/>
        <w:spacing w:after="80" w:line="288" w:lineRule="auto"/>
        <w:widowControl w:val="1"/>
      </w:pPr>
      <w:r>
        <w:t>ISO/IEC 5338:2023 — жизненный цикл AI;</w:t>
      </w:r>
    </w:p>
    <w:p>
      <w:pPr>
        <w:pStyle w:val="ListBullet"/>
        <w:spacing w:after="80" w:line="288" w:lineRule="auto"/>
        <w:widowControl w:val="1"/>
      </w:pPr>
      <w:r>
        <w:t>ISO/IEC TS 8200:2024 — контролируемость;</w:t>
      </w:r>
    </w:p>
    <w:p>
      <w:pPr>
        <w:pStyle w:val="ListBullet"/>
        <w:spacing w:after="80" w:line="288" w:lineRule="auto"/>
        <w:widowControl w:val="1"/>
      </w:pPr>
      <w:r>
        <w:t>ISO/IEC 42005:2025 — оценка воздействия;</w:t>
      </w:r>
    </w:p>
    <w:p>
      <w:pPr>
        <w:pStyle w:val="ListBullet"/>
        <w:spacing w:after="80" w:line="288" w:lineRule="auto"/>
        <w:widowControl w:val="1"/>
      </w:pPr>
      <w:r>
        <w:t>ISO/IEC 42006:2025 — аудит и сертификация;</w:t>
      </w:r>
    </w:p>
    <w:p>
      <w:pPr>
        <w:pStyle w:val="ListBullet"/>
        <w:spacing w:after="80" w:line="288" w:lineRule="auto"/>
        <w:widowControl w:val="1"/>
      </w:pPr>
      <w:r>
        <w:t>ISO/IEC TS 42119-2:2025 — тестирование AI.</w:t>
      </w:r>
    </w:p>
    <w:p>
      <w:pPr>
        <w:spacing w:after="80"/>
        <w:widowControl w:val="1"/>
      </w:pPr>
      <w:r>
        <w:rPr>
          <w:rFonts w:ascii="Calibri" w:hAnsi="Calibri"/>
          <w:b/>
          <w:i w:val="0"/>
          <w:color w:val="666666"/>
          <w:sz w:val="18"/>
        </w:rPr>
        <w:t xml:space="preserve">Источник: </w:t>
      </w:r>
      <w:hyperlink r:id="rId13">
        <w:r>
          <w:rPr>
            <w:color w:val="2E74B5"/>
            <w:u w:val="single"/>
          </w:rPr>
          <w:t>NIST AI RMF</w:t>
        </w:r>
      </w:hyperlink>
    </w:p>
    <w:p>
      <w:pPr>
        <w:spacing w:after="80"/>
        <w:widowControl w:val="1"/>
      </w:pPr>
      <w:r>
        <w:rPr>
          <w:rFonts w:ascii="Calibri" w:hAnsi="Calibri"/>
          <w:b/>
          <w:i w:val="0"/>
          <w:color w:val="666666"/>
          <w:sz w:val="18"/>
        </w:rPr>
        <w:t xml:space="preserve">Источник: </w:t>
      </w:r>
      <w:hyperlink r:id="rId14">
        <w:r>
          <w:rPr>
            <w:color w:val="2E74B5"/>
            <w:u w:val="single"/>
          </w:rPr>
          <w:t>ISO/IEC 42001</w:t>
        </w:r>
      </w:hyperlink>
    </w:p>
    <w:p>
      <w:pPr>
        <w:spacing w:after="80"/>
        <w:widowControl w:val="1"/>
      </w:pPr>
      <w:r>
        <w:rPr>
          <w:rFonts w:ascii="Calibri" w:hAnsi="Calibri"/>
          <w:b/>
          <w:i w:val="0"/>
          <w:color w:val="666666"/>
          <w:sz w:val="18"/>
        </w:rPr>
        <w:t xml:space="preserve">Источник: </w:t>
      </w:r>
      <w:hyperlink r:id="rId15">
        <w:r>
          <w:rPr>
            <w:color w:val="2E74B5"/>
            <w:u w:val="single"/>
          </w:rPr>
          <w:t>ISO/IEC 25059</w:t>
        </w:r>
      </w:hyperlink>
    </w:p>
    <w:p>
      <w:pPr>
        <w:spacing w:after="80"/>
        <w:widowControl w:val="1"/>
      </w:pPr>
      <w:r>
        <w:rPr>
          <w:rFonts w:ascii="Calibri" w:hAnsi="Calibri"/>
          <w:b/>
          <w:i w:val="0"/>
          <w:color w:val="666666"/>
          <w:sz w:val="18"/>
        </w:rPr>
        <w:t xml:space="preserve">Источник: </w:t>
      </w:r>
      <w:hyperlink r:id="rId16">
        <w:r>
          <w:rPr>
            <w:color w:val="2E74B5"/>
            <w:u w:val="single"/>
          </w:rPr>
          <w:t>ISO/IEC 5338</w:t>
        </w:r>
      </w:hyperlink>
    </w:p>
    <w:p>
      <w:pPr>
        <w:widowControl w:val="1"/>
      </w:pPr>
      <w:r>
        <w:br w:type="page"/>
      </w:r>
    </w:p>
    <w:p>
      <w:pPr>
        <w:pStyle w:val="Heading1"/>
        <w:widowControl w:val="1"/>
      </w:pPr>
      <w:r>
        <w:t>16. Использованные системные навыки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360" w:type="dxa"/>
        <w:tblInd w:w="120" w:type="dxa"/>
        <w:tblBorders>
          <w:top w:val="single" w:sz="4" w:color="B7C9DA"/>
          <w:left w:val="single" w:sz="4" w:color="B7C9DA"/>
          <w:bottom w:val="single" w:sz="4" w:color="B7C9DA"/>
          <w:right w:val="single" w:sz="4" w:color="B7C9DA"/>
          <w:insideH w:val="single" w:sz="4" w:color="B7C9DA"/>
          <w:insideV w:val="single" w:sz="4" w:color="B7C9DA"/>
        </w:tblBorders>
      </w:tblPr>
      <w:tblGrid>
        <w:gridCol w:w="2900"/>
        <w:gridCol w:w="6460"/>
      </w:tblGrid>
      <w:tr>
        <w:trPr>
          <w:tblHeader w:val="true"/>
        </w:trPr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Навык</w:t>
            </w:r>
          </w:p>
        </w:tc>
        <w:tc>
          <w:tcPr>
            <w:tcW w:type="dxa" w:w="46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Как применён</w:t>
            </w:r>
          </w:p>
        </w:tc>
      </w:tr>
      <w:tr>
        <w:tc>
          <w:tcPr>
            <w:tcW w:type="dxa" w:w="2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9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ai-systems-architect</w:t>
            </w:r>
          </w:p>
        </w:tc>
        <w:tc>
          <w:tcPr>
            <w:tcW w:type="dxa" w:w="6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4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Архитектура жизненного цикла, метрики, риски, governance, экономика и передача.</w:t>
            </w:r>
          </w:p>
        </w:tc>
      </w:tr>
      <w:tr>
        <w:tc>
          <w:tcPr>
            <w:tcW w:type="dxa" w:w="2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9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documents</w:t>
            </w:r>
          </w:p>
        </w:tc>
        <w:tc>
          <w:tcPr>
            <w:tcW w:type="dxa" w:w="6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4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Создание Word-документа, структура, таблицы, оформление и визуальная проверка.</w:t>
            </w:r>
          </w:p>
        </w:tc>
      </w:tr>
      <w:tr>
        <w:tc>
          <w:tcPr>
            <w:tcW w:type="dxa" w:w="2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9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openai-library:library</w:t>
            </w:r>
          </w:p>
        </w:tc>
        <w:tc>
          <w:tcPr>
            <w:tcW w:type="dxa" w:w="6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4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Сохранение готовой методички для повторного использования.</w:t>
            </w:r>
          </w:p>
        </w:tc>
      </w:tr>
      <w:tr>
        <w:tc>
          <w:tcPr>
            <w:tcW w:type="dxa" w:w="2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290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web research</w:t>
            </w:r>
          </w:p>
        </w:tc>
        <w:tc>
          <w:tcPr>
            <w:tcW w:type="dxa" w:w="6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W w:w="6460" w:type="dxa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18"/>
              </w:rPr>
              <w:t>Проверка стандартов, научных работ и современных данных на 2026 год.</w:t>
            </w:r>
          </w:p>
        </w:tc>
      </w:tr>
    </w:tbl>
    <w:p>
      <w:pPr>
        <w:spacing w:after="40"/>
        <w:widowControl w:val="1"/>
      </w:pPr>
    </w:p>
    <w:p>
      <w:pPr>
        <w:pStyle w:val="Heading1"/>
        <w:widowControl w:val="1"/>
      </w:pPr>
      <w:r>
        <w:t>Заключение</w:t>
      </w:r>
    </w:p>
    <w:p>
      <w:pPr>
        <w:spacing w:after="120" w:line="300" w:lineRule="auto"/>
        <w:widowControl w:val="1"/>
      </w:pPr>
      <w:r>
        <w:rPr>
          <w:rFonts w:ascii="Calibri" w:hAnsi="Calibri"/>
          <w:b w:val="0"/>
          <w:i w:val="0"/>
          <w:sz w:val="22"/>
        </w:rPr>
        <w:t>Зрелый запуск AI — это не момент включения модели, а управляемый переход от проверяемой гипотезы к устойчивому изменению бизнес-процесса. Качество должно измеряться по компонентам и последствиям, риски — иметь владельцев и стоп-условия, а передача — обеспечивать самостоятельную эксплуатацию заказчиком.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EAF4E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2E6B45"/>
                <w:sz w:val="22"/>
              </w:rPr>
              <w:t xml:space="preserve">Итоговая последовательность. </w:t>
            </w:r>
            <w:r>
              <w:rPr>
                <w:rFonts w:ascii="Calibri" w:hAnsi="Calibri"/>
                <w:b w:val="0"/>
                <w:i w:val="0"/>
                <w:sz w:val="22"/>
              </w:rPr>
              <w:t>Контекст → готовность → оффлайн-оценка → shadow → ассистирующий пилот → Go/No-Go → canary → передача → мониторинг → реализация выгод → постоянное улучшение.</w:t>
            </w:r>
          </w:p>
        </w:tc>
      </w:tr>
    </w:tbl>
    <w:p>
      <w:pPr>
        <w:spacing w:after="40"/>
        <w:widowControl w:val="1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666666"/>
        <w:sz w:val="16"/>
      </w:rPr>
      <w:t xml:space="preserve">Запуск и сопровождение AI-решений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 w:val="0"/>
        <w:i w:val="0"/>
        <w:color w:val="666666"/>
        <w:sz w:val="16"/>
      </w:rPr>
      <w:t>МЕТОДИЧЕСКОЕ РУКОВОДСТВО  |  28.08.2026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hai.stanford.edu/ai-index/2026-ai-index-report" TargetMode="External"/><Relationship Id="rId12" Type="http://schemas.openxmlformats.org/officeDocument/2006/relationships/hyperlink" Target="https://www.mckinsey.com/capabilities/quantumblack/our-insights/the-state-of-ai" TargetMode="External"/><Relationship Id="rId13" Type="http://schemas.openxmlformats.org/officeDocument/2006/relationships/hyperlink" Target="https://www.nist.gov/itl/ai-risk-management-framework" TargetMode="External"/><Relationship Id="rId14" Type="http://schemas.openxmlformats.org/officeDocument/2006/relationships/hyperlink" Target="https://www.iso.org/standard/42001" TargetMode="External"/><Relationship Id="rId15" Type="http://schemas.openxmlformats.org/officeDocument/2006/relationships/hyperlink" Target="https://www.iso.org/standard/80655.html" TargetMode="External"/><Relationship Id="rId16" Type="http://schemas.openxmlformats.org/officeDocument/2006/relationships/hyperlink" Target="https://www.iso.org/standard/8111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