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100" w:after="200"/>
        <w:jc w:val="center"/>
      </w:pPr>
      <w:r>
        <w:rPr>
          <w:rFonts w:ascii="Calibri" w:hAnsi="Calibri"/>
          <w:b/>
          <w:i w:val="0"/>
          <w:color w:val="123B67"/>
          <w:sz w:val="56"/>
        </w:rPr>
        <w:t>МЕТОДИКА ОЦЕНКИ И ВЫБОРА AI-МОДЕЛЕЙ</w:t>
      </w:r>
    </w:p>
    <w:p>
      <w:pPr>
        <w:spacing w:after="440"/>
        <w:jc w:val="center"/>
      </w:pPr>
      <w:r>
        <w:rPr>
          <w:rFonts w:ascii="Calibri" w:hAnsi="Calibri"/>
          <w:b w:val="0"/>
          <w:i w:val="0"/>
          <w:color w:val="1557A0"/>
          <w:sz w:val="30"/>
        </w:rPr>
        <w:t>От обзора рынка — к проверяемому рабочему справочнику</w:t>
      </w:r>
    </w:p>
    <w:p>
      <w:pPr>
        <w:jc w:val="center"/>
      </w:pPr>
      <w:r>
        <w:rPr>
          <w:rFonts w:ascii="Calibri" w:hAnsi="Calibri"/>
          <w:b/>
          <w:i w:val="0"/>
          <w:color w:val="F28C28"/>
          <w:sz w:val="22"/>
        </w:rPr>
        <w:t>Практическое руководство для промпт-инженера и архитектора AI-систем</w:t>
      </w:r>
    </w:p>
    <w:p>
      <w:pPr>
        <w:spacing w:before="2400"/>
        <w:jc w:val="center"/>
      </w:pPr>
      <w:r>
        <w:rPr>
          <w:rFonts w:ascii="Calibri" w:hAnsi="Calibri"/>
          <w:b/>
          <w:i w:val="0"/>
          <w:color w:val="123B67"/>
          <w:sz w:val="22"/>
        </w:rPr>
        <w:t>Автор: Дмитрий Степанов</w:t>
      </w:r>
    </w:p>
    <w:p>
      <w:pPr>
        <w:jc w:val="center"/>
      </w:pPr>
      <w:r>
        <w:rPr>
          <w:rFonts w:ascii="Calibri" w:hAnsi="Calibri"/>
          <w:b w:val="0"/>
          <w:i w:val="0"/>
          <w:color w:val="5B6573"/>
          <w:sz w:val="20"/>
        </w:rPr>
        <w:t>Редакция 1.0 | 21 августа 2026 года</w:t>
      </w:r>
    </w:p>
    <w:p>
      <w:pPr>
        <w:spacing w:before="320"/>
        <w:jc w:val="center"/>
      </w:pPr>
      <w:r>
        <w:rPr>
          <w:rFonts w:ascii="Calibri" w:hAnsi="Calibri"/>
          <w:b w:val="0"/>
          <w:i/>
          <w:color w:val="20262E"/>
          <w:sz w:val="20"/>
        </w:rPr>
        <w:t>Назначение: выбор модели под задачу, бюджет, риски и инфраструктуру</w:t>
      </w:r>
    </w:p>
    <w:p>
      <w:r>
        <w:br w:type="page"/>
      </w:r>
    </w:p>
    <w:p>
      <w:pPr>
        <w:pStyle w:val="Heading1"/>
      </w:pPr>
      <w:r>
        <w:t>Как пользоваться методичкой</w:t>
      </w:r>
    </w:p>
    <w:p>
      <w:r>
        <w:rPr>
          <w:rFonts w:ascii="Calibri" w:hAnsi="Calibri"/>
          <w:b w:val="0"/>
          <w:i w:val="0"/>
          <w:color w:val="20262E"/>
          <w:sz w:val="22"/>
        </w:rPr>
        <w:t>Методичка предназначена для подготовки и регулярного обновления сравнительного обзора AI-моделей. Она помогает заменить субъективный список «лучших нейросетей» на проверяемую систему принятия решений: задача → ограничения → тест → рейтинг → рекомендация.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2E3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F28C28"/>
                <w:sz w:val="22"/>
              </w:rPr>
              <w:t>Ключевой принцип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Не существует лучшей модели вообще. Существует наиболее подходящая модель для конкретной задачи, языка, бюджета, уровня риска и технологической среды.</w:t>
            </w:r>
          </w:p>
        </w:tc>
      </w:tr>
    </w:tbl>
    <w:p>
      <w:pPr>
        <w:spacing w:after="0"/>
      </w:pPr>
    </w:p>
    <w:p>
      <w:pPr>
        <w:pStyle w:val="Heading2"/>
      </w:pPr>
      <w:r>
        <w:t>Содержание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Цель, границы и результат исследования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Карта источников и правила доказательности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Что говорят лидеры NVIDIA, xAI, Google, Anthropic и OpenAI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Таксономия задач и карточка модели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Система критериев, весов и итогового рейтинга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Практическое тестирование и A/B-сравнение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Безопасность, приватность и ограничения доступа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Регламент обновления справочника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Публикация, личный бренд и продуктовая упаковка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Готовые шаблоны и контрольный чек-лист</w:t>
      </w:r>
    </w:p>
    <w:p>
      <w:pPr>
        <w:pStyle w:val="Heading1"/>
      </w:pPr>
      <w:r>
        <w:t>1. Цель, границы и результат исследования</w:t>
      </w:r>
    </w:p>
    <w:p>
      <w:pPr>
        <w:pStyle w:val="Heading2"/>
      </w:pPr>
      <w:r>
        <w:t>1.1. Цель</w:t>
      </w:r>
    </w:p>
    <w:p>
      <w:r>
        <w:rPr>
          <w:rFonts w:ascii="Calibri" w:hAnsi="Calibri"/>
          <w:b w:val="0"/>
          <w:i w:val="0"/>
          <w:color w:val="20262E"/>
          <w:sz w:val="22"/>
        </w:rPr>
        <w:t>Создать рабочий справочник, который позволяет промпт-инженеру, разработчику или руководителю выбрать AI-модель по измеримым параметрам и объяснить выбор заказчику. Методика должна быть воспроизводимой: другой специалист, используя те же исходные данные и тесты, должен получить сопоставимый результат.</w:t>
      </w:r>
    </w:p>
    <w:p>
      <w:pPr>
        <w:pStyle w:val="Heading2"/>
      </w:pPr>
      <w:r>
        <w:t>1.2. Что является объектом оценки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Фундаментальная модель: текстовая, мультимодальная, визуальная, видео-, аудио- или специализированная.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Конкретная версия модели, а не только торговая марка семейства.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Способ доступа: веб-интерфейс, API, облачная платформа, локальный запуск или open-weight.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Экосистема: инструменты, агенты, коннекторы, безопасность, мониторинг и средства оценки.</w:t>
      </w:r>
    </w:p>
    <w:p>
      <w:pPr>
        <w:pStyle w:val="Heading2"/>
      </w:pPr>
      <w:r>
        <w:t>1.3. Что не следует обещать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Абсолютную объективность рейтинга: веса зависят от сценария.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Неизменность результата: модели, тарифы и ограничения регулярно обновляются.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Тождество бенчмарка и реального качества: лабораторный тест не заменяет проверку на собственных задачах.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Доступность функции во всех странах и тарифах без отдельной проверки.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0F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1557A0"/>
                <w:sz w:val="22"/>
              </w:rPr>
              <w:t>Результат исследования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Для каждой категории формируется короткий список моделей, сравнительная таблица, объяснение выбора, ограничения, дата проверки и ссылки на доказательства.</w:t>
            </w:r>
          </w:p>
        </w:tc>
      </w:tr>
    </w:tbl>
    <w:p>
      <w:pPr>
        <w:spacing w:after="0"/>
      </w:pPr>
    </w:p>
    <w:p>
      <w:pPr>
        <w:pStyle w:val="Heading1"/>
      </w:pPr>
      <w:r>
        <w:t>2. Карта источников и правила доказательности</w:t>
      </w:r>
    </w:p>
    <w:p>
      <w:r>
        <w:rPr>
          <w:rFonts w:ascii="Calibri" w:hAnsi="Calibri"/>
          <w:b w:val="0"/>
          <w:i w:val="0"/>
          <w:color w:val="20262E"/>
          <w:sz w:val="22"/>
        </w:rPr>
        <w:t>Каждое существенное утверждение должно иметь источник и уровень доверия. Источники используются не как декоративный список литературы, а как часть процедуры проверки.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2600"/>
        <w:gridCol w:w="5860"/>
      </w:tblGrid>
      <w:tr>
        <w:trPr>
          <w:tblHeader w:val="true"/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Уровень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Тип источника</w:t>
            </w:r>
          </w:p>
        </w:tc>
        <w:tc>
          <w:tcPr>
            <w:tcW w:type="dxa" w:w="58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Как использовать</w:t>
            </w:r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A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Официальная документация, model/system card, API reference</w:t>
            </w:r>
          </w:p>
        </w:tc>
        <w:tc>
          <w:tcPr>
            <w:tcW w:type="dxa" w:w="5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Подтверждать характеристики, лимиты, цены и заявленные тесты.</w:t>
            </w:r>
          </w:p>
        </w:tc>
      </w:tr>
      <w:tr>
        <w:trPr>
          <w:cantSplit/>
        </w:trPr>
        <w:tc>
          <w:tcPr>
            <w:tcW w:type="dxa" w:w="9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B</w:t>
            </w:r>
          </w:p>
        </w:tc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Научная статья, технический отчёт, независимый benchmark</w:t>
            </w:r>
          </w:p>
        </w:tc>
        <w:tc>
          <w:tcPr>
            <w:tcW w:type="dxa" w:w="58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Проверять качество, устойчивость и воспроизводимость.</w:t>
            </w:r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C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Reuters, Financial Times, MIT Technology Review и профильная периодика</w:t>
            </w:r>
          </w:p>
        </w:tc>
        <w:tc>
          <w:tcPr>
            <w:tcW w:type="dxa" w:w="5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Понимать рынок, инвестиции, стратегию и спорные события.</w:t>
            </w:r>
          </w:p>
        </w:tc>
      </w:tr>
      <w:tr>
        <w:trPr>
          <w:cantSplit/>
        </w:trPr>
        <w:tc>
          <w:tcPr>
            <w:tcW w:type="dxa" w:w="9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D</w:t>
            </w:r>
          </w:p>
        </w:tc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Практические тесты автора на фиксированном датасете</w:t>
            </w:r>
          </w:p>
        </w:tc>
        <w:tc>
          <w:tcPr>
            <w:tcW w:type="dxa" w:w="58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Оценивать пригодность для реальных задач и русского языка.</w:t>
            </w:r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E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Социальные сети, обзоры, рекламные страницы</w:t>
            </w:r>
          </w:p>
        </w:tc>
        <w:tc>
          <w:tcPr>
            <w:tcW w:type="dxa" w:w="5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Использовать только как сигнал для последующей проверки.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2.1. Правило трёх слоёв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Зафиксировать, что утверждает сама компания.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Найти независимое подтверждение или опровержение.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Провести собственный тест на типовых и сложных запросах.</w:t>
      </w:r>
    </w:p>
    <w:p>
      <w:pPr>
        <w:pStyle w:val="Heading2"/>
      </w:pPr>
      <w:r>
        <w:t>2.2. Как маркировать утверждения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Факт — подтверждён официальной документацией или воспроизводимым тестом.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Заявление производителя — опубликовано компанией, но не подтверждено независимо.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Экспертная оценка — вывод автора по результатам собственной методики.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Прогноз — предположение о будущем с указанием автора и даты.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Не подтверждено — информация обнаружена, но проверить её надёжно не удалось.</w:t>
      </w:r>
    </w:p>
    <w:p>
      <w:pPr>
        <w:pStyle w:val="Heading1"/>
      </w:pPr>
      <w:r>
        <w:t>3. Стратегические позиции лидеров AI-рынка</w:t>
      </w:r>
    </w:p>
    <w:p>
      <w:r>
        <w:rPr>
          <w:rFonts w:ascii="Calibri" w:hAnsi="Calibri"/>
          <w:b w:val="0"/>
          <w:i w:val="0"/>
          <w:color w:val="20262E"/>
          <w:sz w:val="22"/>
        </w:rPr>
        <w:t>Заявления руководителей нужны не для определения победителя, а для понимания направления развития рынка. Это слой стратегии, который дополняет техническое сравнение моделей.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200"/>
        <w:gridCol w:w="4460"/>
      </w:tblGrid>
      <w:tr>
        <w:trPr>
          <w:tblHeader w:val="true"/>
          <w:cantSplit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Лидер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Стратегическая ставка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Что проверять в моделях</w:t>
            </w:r>
          </w:p>
        </w:tc>
      </w:tr>
      <w:tr>
        <w:trPr>
          <w:cantSplit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Дженсен Хуанг, NVIDIA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AI-фабрики, reasoning, агенты и Physical AI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Стоимость вычислений, скорость, локальный запуск, робототехника, инфраструктура.</w:t>
            </w:r>
          </w:p>
        </w:tc>
      </w:tr>
      <w:tr>
        <w:trPr>
          <w:cantSplit/>
        </w:trPr>
        <w:tc>
          <w:tcPr>
            <w:tcW w:type="dxa" w:w="1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Илон Маск, xAI</w:t>
            </w:r>
          </w:p>
        </w:tc>
        <w:tc>
          <w:tcPr>
            <w:tcW w:type="dxa" w:w="3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Масштаб вычислений, актуальный поиск, coding и автономные агенты</w:t>
            </w:r>
          </w:p>
        </w:tc>
        <w:tc>
          <w:tcPr>
            <w:tcW w:type="dxa" w:w="44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Свежесть данных, инструменты, длительные задачи, независимые тесты.</w:t>
            </w:r>
          </w:p>
        </w:tc>
      </w:tr>
      <w:tr>
        <w:trPr>
          <w:cantSplit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Демис Хассабис и Сундар Пичаи, Google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Мультимодальность, наука, агенты и интеграция в экосистему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Мультимодальный ввод/вывод, Workspace, Vertex AI, агентная платформа.</w:t>
            </w:r>
          </w:p>
        </w:tc>
      </w:tr>
      <w:tr>
        <w:trPr>
          <w:cantSplit/>
        </w:trPr>
        <w:tc>
          <w:tcPr>
            <w:tcW w:type="dxa" w:w="1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Дарио Амодеи, Anthropic</w:t>
            </w:r>
          </w:p>
        </w:tc>
        <w:tc>
          <w:tcPr>
            <w:tcW w:type="dxa" w:w="3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Профессиональная работа, coding, управляемость и безопасность</w:t>
            </w:r>
          </w:p>
        </w:tc>
        <w:tc>
          <w:tcPr>
            <w:tcW w:type="dxa" w:w="44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Следование инструкциям, длинный контекст, риски, корпоративный контроль.</w:t>
            </w:r>
          </w:p>
        </w:tc>
      </w:tr>
      <w:tr>
        <w:trPr>
          <w:cantSplit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Сэм Альтман, OpenAI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Универсальные модели, reasoning, агенты действия и массовое внедрение</w:t>
            </w:r>
          </w:p>
        </w:tc>
        <w:tc>
          <w:tcPr>
            <w:tcW w:type="dxa" w:w="4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Инструменты, оркестрация, evals, мониторинг, мультимодальность.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3.1. Правило интерпретации</w:t>
      </w:r>
    </w:p>
    <w:p>
      <w:r>
        <w:rPr>
          <w:rFonts w:ascii="Calibri" w:hAnsi="Calibri"/>
          <w:b w:val="0"/>
          <w:i w:val="0"/>
          <w:color w:val="20262E"/>
          <w:sz w:val="22"/>
        </w:rPr>
        <w:t>Фразы «самая умная модель», «лучшая в мире» или «путь к AGI» нельзя переносить в рейтинг как факт. Они отражают позиционирование компании. Для методички важнее проверяемый вопрос: какую задачу модель выполнила, на каком датасете, при каких настройках, цене и ограничениях.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2E3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F28C28"/>
                <w:sz w:val="22"/>
              </w:rPr>
              <w:t>Общий отраслевой сдвиг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Рынок переходит от одиночного чат-бота к системе «модель + данные + инструменты + память + оркестрация + контроль человека». Именно систему, а не только название модели, должен оценивать современный справочник.</w:t>
            </w:r>
          </w:p>
        </w:tc>
      </w:tr>
    </w:tbl>
    <w:p>
      <w:pPr>
        <w:spacing w:after="0"/>
      </w:pPr>
    </w:p>
    <w:p>
      <w:pPr>
        <w:pStyle w:val="Heading1"/>
      </w:pPr>
      <w:r>
        <w:t>4. Таксономия задач</w:t>
      </w:r>
    </w:p>
    <w:p>
      <w:r>
        <w:rPr>
          <w:rFonts w:ascii="Calibri" w:hAnsi="Calibri"/>
          <w:b w:val="0"/>
          <w:i w:val="0"/>
          <w:color w:val="20262E"/>
          <w:sz w:val="22"/>
        </w:rPr>
        <w:t>Категории должны описывать работу пользователя. Нельзя смешивать в одной строке генерацию изображения, редактирование изображения и создание рекламного макета: требования и метрики различаются.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blHeader w:val="true"/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Блок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Рекомендуемые категории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Текст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Исследование; аналитика; письмо; суммаризация; перевод; юридические и медицинские сценарии.</w:t>
            </w:r>
          </w:p>
        </w:tc>
      </w:tr>
      <w:tr>
        <w:trPr>
          <w:cantSplit/>
        </w:trPr>
        <w:tc>
          <w:tcPr>
            <w:tcW w:type="dxa" w:w="19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Разработка</w:t>
            </w:r>
          </w:p>
        </w:tc>
        <w:tc>
          <w:tcPr>
            <w:tcW w:type="dxa" w:w="74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Генерация кода; рефакторинг; debugging; работа с репозиторием; автономный coding-agent.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Визуал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Image generation; image editing; дизайн-макет; OCR и понимание изображений.</w:t>
            </w:r>
          </w:p>
        </w:tc>
      </w:tr>
      <w:tr>
        <w:trPr>
          <w:cantSplit/>
        </w:trPr>
        <w:tc>
          <w:tcPr>
            <w:tcW w:type="dxa" w:w="19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Видео и звук</w:t>
            </w:r>
          </w:p>
        </w:tc>
        <w:tc>
          <w:tcPr>
            <w:tcW w:type="dxa" w:w="74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Video generation; монтаж; TTS; STT; voice agent; музыка.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Данные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Таблицы; SQL; анализ документов; извлечение структурированных данных; визуализация.</w:t>
            </w:r>
          </w:p>
        </w:tc>
      </w:tr>
      <w:tr>
        <w:trPr>
          <w:cantSplit/>
        </w:trPr>
        <w:tc>
          <w:tcPr>
            <w:tcW w:type="dxa" w:w="19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AI-системы</w:t>
            </w:r>
          </w:p>
        </w:tc>
        <w:tc>
          <w:tcPr>
            <w:tcW w:type="dxa" w:w="74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RAG; tool use; agents; multi-agent; MCP/коннекторы; локальные модели.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Локализация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Русский язык; многоязычность; региональная доступность; способы оплаты.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4.1. Паспорт категории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Цель пользователя и ожидаемый результат.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Типичный вход: текст, файл, изображение, аудио, база знаний или репозиторий.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Критические ошибки и недопустимые действия.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Основная метрика качества и защитная метрика.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Допустимое время ответа и бюджет.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Нужна ли проверка человеком перед использованием результата.</w:t>
      </w:r>
    </w:p>
    <w:p>
      <w:pPr>
        <w:pStyle w:val="Heading1"/>
      </w:pPr>
      <w:r>
        <w:t>5. Карточка AI-модели</w:t>
      </w:r>
    </w:p>
    <w:p>
      <w:r>
        <w:rPr>
          <w:rFonts w:ascii="Calibri" w:hAnsi="Calibri"/>
          <w:b w:val="0"/>
          <w:i w:val="0"/>
          <w:color w:val="20262E"/>
          <w:sz w:val="22"/>
        </w:rPr>
        <w:t>Каждая модель описывается по одному шаблону. Это предотвращает ситуацию, когда одна модель представлена рекламными преимуществами, а другая — только ограничениями.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Поле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Что фиксировать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Идентификация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Компания, семейство, точная версия, дата релиза и дата проверки.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Назначение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Основные сценарии и задачи, где модель не рекомендуется.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Доступ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Веб, API, облако, локальный запуск, тариф и региональные ограничения.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Ввод/вывод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Текст, изображение, видео, аудио, файлы, структурированный ответ.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Технические параметры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Контекст, лимиты, tool use, streaming, fine-tuning, batch, structured output.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Экономика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Цена входа/выхода, подписка, инфраструктура и приблизительная стоимость сценария.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Качество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Официальные и независимые тесты плюс собственная проверка.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Риски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Галлюцинации, безопасность, данные, лицензия, цензура, vendor lock-in.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Вердикт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Для кого подходит, сильные стороны, ограничения и альтернатива.</w:t>
            </w:r>
          </w:p>
        </w:tc>
      </w:tr>
    </w:tbl>
    <w:p>
      <w:pPr>
        <w:spacing w:before="80" w:after="8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0F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1557A0"/>
                <w:sz w:val="22"/>
              </w:rPr>
              <w:t>Обязательная дата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Название модели без даты проверки — неполная запись. Даже при сохранении имени поставщик может изменить поведение, лимиты, маршрутизацию и цену.</w:t>
            </w:r>
          </w:p>
        </w:tc>
      </w:tr>
    </w:tbl>
    <w:p>
      <w:pPr>
        <w:spacing w:after="0"/>
      </w:pPr>
    </w:p>
    <w:p>
      <w:pPr>
        <w:pStyle w:val="Heading1"/>
      </w:pPr>
      <w:r>
        <w:t>6. Критерии и система рейтинга</w:t>
      </w:r>
    </w:p>
    <w:p>
      <w:r>
        <w:rPr>
          <w:rFonts w:ascii="Calibri" w:hAnsi="Calibri"/>
          <w:b w:val="0"/>
          <w:i w:val="0"/>
          <w:color w:val="20262E"/>
          <w:sz w:val="22"/>
        </w:rPr>
        <w:t>Итоговая оценка строится из базовых критериев. Веса меняются по категории, но сумма всегда равна 100%. Оценка каждого критерия выставляется по шкале от 1 до 10.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1400"/>
        <w:gridCol w:w="5260"/>
      </w:tblGrid>
      <w:tr>
        <w:trPr>
          <w:tblHeader w:val="true"/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Критерий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Базовый вес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Смысл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Качество результата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25%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Точность, полнота, релевантность и соответствие формату.</w:t>
            </w:r>
          </w:p>
        </w:tc>
      </w:tr>
      <w:tr>
        <w:trPr>
          <w:cantSplit/>
        </w:trPr>
        <w:tc>
          <w:tcPr>
            <w:tcW w:type="dxa" w:w="2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Надёжность</w:t>
            </w:r>
          </w:p>
        </w:tc>
        <w:tc>
          <w:tcPr>
            <w:tcW w:type="dxa" w:w="14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15%</w:t>
            </w:r>
          </w:p>
        </w:tc>
        <w:tc>
          <w:tcPr>
            <w:tcW w:type="dxa" w:w="52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Повторяемость, следование инструкции, устойчивость к сложным запросам.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Русский язык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10%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Грамматика, смысл, терминология, локальный контекст.</w:t>
            </w:r>
          </w:p>
        </w:tc>
      </w:tr>
      <w:tr>
        <w:trPr>
          <w:cantSplit/>
        </w:trPr>
        <w:tc>
          <w:tcPr>
            <w:tcW w:type="dxa" w:w="2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Инструменты и агентность</w:t>
            </w:r>
          </w:p>
        </w:tc>
        <w:tc>
          <w:tcPr>
            <w:tcW w:type="dxa" w:w="14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10%</w:t>
            </w:r>
          </w:p>
        </w:tc>
        <w:tc>
          <w:tcPr>
            <w:tcW w:type="dxa" w:w="52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Tool use, действия, память, длительные задачи, коннекторы.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Скорость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8%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Латентность и пропускная способность.</w:t>
            </w:r>
          </w:p>
        </w:tc>
      </w:tr>
      <w:tr>
        <w:trPr>
          <w:cantSplit/>
        </w:trPr>
        <w:tc>
          <w:tcPr>
            <w:tcW w:type="dxa" w:w="2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Стоимость</w:t>
            </w:r>
          </w:p>
        </w:tc>
        <w:tc>
          <w:tcPr>
            <w:tcW w:type="dxa" w:w="14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10%</w:t>
            </w:r>
          </w:p>
        </w:tc>
        <w:tc>
          <w:tcPr>
            <w:tcW w:type="dxa" w:w="52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Подписка, API и инфраструктурные расходы.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Безопасность и приватность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10%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Управление данными, контроль, аудит и ограничения.</w:t>
            </w:r>
          </w:p>
        </w:tc>
      </w:tr>
      <w:tr>
        <w:trPr>
          <w:cantSplit/>
        </w:trPr>
        <w:tc>
          <w:tcPr>
            <w:tcW w:type="dxa" w:w="27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Интеграция</w:t>
            </w:r>
          </w:p>
        </w:tc>
        <w:tc>
          <w:tcPr>
            <w:tcW w:type="dxa" w:w="14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7%</w:t>
            </w:r>
          </w:p>
        </w:tc>
        <w:tc>
          <w:tcPr>
            <w:tcW w:type="dxa" w:w="52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API, SDK, облака, документация и стабильность.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Доступность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5%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7"/>
              </w:rPr>
              <w:t>Регионы, тарифы, способы оплаты и ограничения использования.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6.1. Формула</w:t>
      </w:r>
    </w:p>
    <w:p>
      <w:r>
        <w:rPr>
          <w:rFonts w:ascii="Calibri" w:hAnsi="Calibri"/>
          <w:b w:val="0"/>
          <w:i w:val="0"/>
          <w:color w:val="20262E"/>
          <w:sz w:val="22"/>
        </w:rPr>
        <w:t>Итоговая оценка = Σ (оценка критерия × вес критерия). Если оценки выставляются по шкале 1–10, вес используется как доля: например 25% = 0,25. Итог также находится на шкале 1–10.</w:t>
      </w:r>
    </w:p>
    <w:p>
      <w:pPr>
        <w:pStyle w:val="Heading2"/>
      </w:pPr>
      <w:r>
        <w:t>6.2. Штрафы и стоп-факторы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Критическая фактическая ошибка в high-stakes задаче: модель исключается из рекомендации до дополнительной проверки.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Нарушение обязательного формата более чем в 20% тестов: штраф к надёжности.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Отсутствие подтверждённой информации о работе с данными: пометка «требуется проверка безопасности».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Недоступность API или нестабильный доступ в целевом регионе: ограничение применимости, а не оценка интеллекта.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2E3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F28C28"/>
                <w:sz w:val="22"/>
              </w:rPr>
              <w:t>Важно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Один общий балл удобен для навигации, но не должен скрывать профиль модели. Две модели с одинаковым итогом могут радикально различаться по цене, скорости и рискам.</w:t>
            </w:r>
          </w:p>
        </w:tc>
      </w:tr>
    </w:tbl>
    <w:p>
      <w:pPr>
        <w:spacing w:after="0"/>
      </w:pPr>
    </w:p>
    <w:p>
      <w:pPr>
        <w:pStyle w:val="Heading1"/>
      </w:pPr>
      <w:r>
        <w:t>7. Практическое тестирование</w:t>
      </w:r>
    </w:p>
    <w:p>
      <w:pPr>
        <w:pStyle w:val="Heading2"/>
      </w:pPr>
      <w:r>
        <w:t>7.1. Датасет</w:t>
      </w:r>
    </w:p>
    <w:p>
      <w:r>
        <w:rPr>
          <w:rFonts w:ascii="Calibri" w:hAnsi="Calibri"/>
          <w:b w:val="0"/>
          <w:i w:val="0"/>
          <w:color w:val="20262E"/>
          <w:sz w:val="22"/>
        </w:rPr>
        <w:t>Для каждой категории создаётся набор из 20–30 запросов. Минимум 20% должны составлять сложные, неполные или «кривые» запросы, приближенные к реальной работе пользователя.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Базовые запросы — проверка стандартной функции.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Граничные запросы — недостаток данных, противоречия и неоднозначность.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Провокационные запросы — попытка заставить модель выдумать факт или нарушить ограничение.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Длинные запросы — документы, таблицы, несколько требований и многошаговая работа.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Русскоязычные запросы — терминология, склонения, контекст и естественность речи.</w:t>
      </w:r>
    </w:p>
    <w:p>
      <w:pPr>
        <w:pStyle w:val="Heading2"/>
      </w:pPr>
      <w:r>
        <w:t>7.2. Условия честного сравнения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Использовать одинаковый исходный запрос и одинаковые материалы.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Фиксировать версию модели, режим, дату, температуру и доступные инструменты.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Не улучшать вручную запрос только для одной модели.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Сохранять необработанные ответы и технические логи.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Оценивать ответы вслепую, если это возможно.</w:t>
      </w:r>
    </w:p>
    <w:p>
      <w:pPr>
        <w:pStyle w:val="ListNumber"/>
      </w:pPr>
      <w:r>
        <w:rPr>
          <w:rFonts w:ascii="Calibri" w:hAnsi="Calibri"/>
          <w:b w:val="0"/>
          <w:i w:val="0"/>
          <w:color w:val="20262E"/>
          <w:sz w:val="22"/>
        </w:rPr>
        <w:t>Повторять нестабильные тесты не менее трёх раз.</w:t>
      </w:r>
    </w:p>
    <w:p>
      <w:pPr>
        <w:pStyle w:val="Heading2"/>
      </w:pPr>
      <w:r>
        <w:t>7.3. Primary и Guard метрики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7360"/>
      </w:tblGrid>
      <w:tr>
        <w:trPr>
          <w:tblHeader w:val="true"/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Элемент</w:t>
            </w:r>
          </w:p>
        </w:tc>
        <w:tc>
          <w:tcPr>
            <w:tcW w:type="dxa" w:w="73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Пример</w:t>
            </w:r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Primary-метрика</w:t>
            </w:r>
          </w:p>
        </w:tc>
        <w:tc>
          <w:tcPr>
            <w:tcW w:type="dxa" w:w="7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Полнота ответа, точность кода, успешность выполнения задачи или предпочтение эксперта.</w:t>
            </w:r>
          </w:p>
        </w:tc>
      </w:tr>
      <w:tr>
        <w:trPr>
          <w:cantSplit/>
        </w:trPr>
        <w:tc>
          <w:tcPr>
            <w:tcW w:type="dxa" w:w="20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Guard-метрика</w:t>
            </w:r>
          </w:p>
        </w:tc>
        <w:tc>
          <w:tcPr>
            <w:tcW w:type="dxa" w:w="73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Галлюцинации, латентность, стоимость, нарушение безопасности или доля отказов.</w:t>
            </w:r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MDE</w:t>
            </w:r>
          </w:p>
        </w:tc>
        <w:tc>
          <w:tcPr>
            <w:tcW w:type="dxa" w:w="7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Минимальное улучшение, которое оправдывает переход на другую модель.</w:t>
            </w:r>
          </w:p>
        </w:tc>
      </w:tr>
      <w:tr>
        <w:trPr>
          <w:cantSplit/>
        </w:trPr>
        <w:tc>
          <w:tcPr>
            <w:tcW w:type="dxa" w:w="20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Решение</w:t>
            </w:r>
          </w:p>
        </w:tc>
        <w:tc>
          <w:tcPr>
            <w:tcW w:type="dxa" w:w="73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Принять, отклонить или отправить модель на дополнительный тест.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7.4. A/B-проверка</w:t>
      </w:r>
    </w:p>
    <w:p>
      <w:r>
        <w:rPr>
          <w:rFonts w:ascii="Calibri" w:hAnsi="Calibri"/>
          <w:b w:val="0"/>
          <w:i w:val="0"/>
          <w:color w:val="20262E"/>
          <w:sz w:val="22"/>
        </w:rPr>
        <w:t>Ответы моделей скрываются под обозначениями A и B. Оценщик не должен знать производителя. Для каждого ответа фиксируются баллы и причина. После раскрытия моделей рассчитывается средний результат, разброс и влияние guard-метрик.</w:t>
      </w:r>
    </w:p>
    <w:p>
      <w:pPr>
        <w:pStyle w:val="Heading1"/>
      </w:pPr>
      <w:r>
        <w:t>8. Русский язык как самостоятельная дисциплина</w:t>
      </w:r>
    </w:p>
    <w:p>
      <w:r>
        <w:rPr>
          <w:rFonts w:ascii="Calibri" w:hAnsi="Calibri"/>
          <w:b w:val="0"/>
          <w:i w:val="0"/>
          <w:color w:val="20262E"/>
          <w:sz w:val="22"/>
        </w:rPr>
        <w:t>Высокое место модели в англоязычном benchmark не гарантирует качественную работу на русском языке. Оценка должна включать не только грамматику, но и смысловую точность, терминологию, стиль и способность работать с российским или русскоязычным контекстом.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tblHeader w:val="true"/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Проверка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Пример критерия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Естественность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Ответ не выглядит машинным переводом и не содержит неестественных конструкций.</w:t>
            </w:r>
          </w:p>
        </w:tc>
      </w:tr>
      <w:tr>
        <w:trPr>
          <w:cantSplit/>
        </w:trPr>
        <w:tc>
          <w:tcPr>
            <w:tcW w:type="dxa" w:w="23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Терминология</w:t>
            </w:r>
          </w:p>
        </w:tc>
        <w:tc>
          <w:tcPr>
            <w:tcW w:type="dxa" w:w="70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Правильно использует профессиональные понятия без подмены смысла.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Инструкции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Сохраняет заданную структуру, объём и тон.</w:t>
            </w:r>
          </w:p>
        </w:tc>
      </w:tr>
      <w:tr>
        <w:trPr>
          <w:cantSplit/>
        </w:trPr>
        <w:tc>
          <w:tcPr>
            <w:tcW w:type="dxa" w:w="23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Факты</w:t>
            </w:r>
          </w:p>
        </w:tc>
        <w:tc>
          <w:tcPr>
            <w:tcW w:type="dxa" w:w="70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Не переносит нормы и реалии другой страны на локальный сценарий.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Диалог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Понимает опечатки, разговорные формулировки и неполные вопросы.</w:t>
            </w:r>
          </w:p>
        </w:tc>
      </w:tr>
      <w:tr>
        <w:trPr>
          <w:cantSplit/>
        </w:trPr>
        <w:tc>
          <w:tcPr>
            <w:tcW w:type="dxa" w:w="23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Создание контента</w:t>
            </w:r>
          </w:p>
        </w:tc>
        <w:tc>
          <w:tcPr>
            <w:tcW w:type="dxa" w:w="70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Не повторяется, избегает канцелярита и рекламных штампов.</w:t>
            </w:r>
          </w:p>
        </w:tc>
      </w:tr>
    </w:tbl>
    <w:p>
      <w:pPr>
        <w:spacing w:before="80" w:after="8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0F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1557A0"/>
                <w:sz w:val="22"/>
              </w:rPr>
              <w:t>Для проектов Дмитрия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Для AutoSfera AI, MedBot-AI, RAG-ассистентов и коммерческих писем русский язык должен оцениваться на собственных сценариях, а не по общей репутации модели.</w:t>
            </w:r>
          </w:p>
        </w:tc>
      </w:tr>
    </w:tbl>
    <w:p>
      <w:pPr>
        <w:spacing w:after="0"/>
      </w:pPr>
    </w:p>
    <w:p>
      <w:pPr>
        <w:pStyle w:val="Heading1"/>
      </w:pPr>
      <w:r>
        <w:t>9. Безопасность, приватность и контроль человека</w:t>
      </w:r>
    </w:p>
    <w:p>
      <w:r>
        <w:rPr>
          <w:rFonts w:ascii="Calibri" w:hAnsi="Calibri"/>
          <w:b w:val="0"/>
          <w:i w:val="0"/>
          <w:color w:val="20262E"/>
          <w:sz w:val="22"/>
        </w:rPr>
        <w:t>Чем больше модель получает инструментов и доступа к данным, тем важнее оценивать не только ответ, но и действие. Агент, который ошибается в тексте, создаёт неудобство; агент, который ошибочно изменяет CRM, отправляет сообщение или запускает платёж, создаёт операционный риск.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Классифицировать данные: публичные, внутренние, конфиденциальные, персональные.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Проверять, используются ли данные для обучения и каков срок их хранения.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Ограничивать инструменты и права по принципу минимально необходимого доступа.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Требовать подтверждение человека для необратимых и финансовых действий.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Вести журналы запросов, решений, действий и ошибок.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Проводить red-team тестирование и проверку prompt injection.</w:t>
      </w:r>
    </w:p>
    <w:p>
      <w:pPr>
        <w:pStyle w:val="Heading2"/>
      </w:pPr>
      <w:r>
        <w:t>9.1. Уровни допуска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tblHeader w:val="true"/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Уровень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Разрешение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1. Советник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Формирует ответ или рекомендацию; действие выполняет человек.</w:t>
            </w:r>
          </w:p>
        </w:tc>
      </w:tr>
      <w:tr>
        <w:trPr>
          <w:cantSplit/>
        </w:trPr>
        <w:tc>
          <w:tcPr>
            <w:tcW w:type="dxa" w:w="23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2. Исполнитель с подтверждением</w:t>
            </w:r>
          </w:p>
        </w:tc>
        <w:tc>
          <w:tcPr>
            <w:tcW w:type="dxa" w:w="70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Готовит действие, но запускает его только после согласования.</w:t>
            </w:r>
          </w:p>
        </w:tc>
      </w:tr>
      <w:tr>
        <w:trPr>
          <w:cantSplit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3. Ограниченная автономность</w:t>
            </w:r>
          </w:p>
        </w:tc>
        <w:tc>
          <w:tcPr>
            <w:tcW w:type="dxa" w:w="70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Самостоятельно выполняет обратимые действия в заданных пределах.</w:t>
            </w:r>
          </w:p>
        </w:tc>
      </w:tr>
      <w:tr>
        <w:trPr>
          <w:cantSplit/>
        </w:trPr>
        <w:tc>
          <w:tcPr>
            <w:tcW w:type="dxa" w:w="23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4. Высокая автономность</w:t>
            </w:r>
          </w:p>
        </w:tc>
        <w:tc>
          <w:tcPr>
            <w:tcW w:type="dxa" w:w="70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Допускается только после испытаний, мониторинга, ограничений и аварийного отключения.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10. Регламент обновления справочника</w:t>
      </w:r>
    </w:p>
    <w:p>
      <w:r>
        <w:rPr>
          <w:rFonts w:ascii="Calibri" w:hAnsi="Calibri"/>
          <w:b w:val="0"/>
          <w:i w:val="0"/>
          <w:color w:val="20262E"/>
          <w:sz w:val="22"/>
        </w:rPr>
        <w:t>Справочник быстро устаревает, если обновление зависит от вдохновения автора. Поэтому нужен простой операционный цикл.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Периодичность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Действие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Еженедельно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Фиксировать новые релизы, изменения тарифов и заметные инциденты.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Ежемесячно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Проверять лидеров категорий и повторять короткий smoke-test.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Ежеквартально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Пересматривать веса, полный рейтинг и набор тестовых запросов.</w:t>
            </w:r>
          </w:p>
        </w:tc>
      </w:tr>
      <w:tr>
        <w:trPr>
          <w:cantSplit/>
        </w:trPr>
        <w:tc>
          <w:tcPr>
            <w:tcW w:type="dxa" w:w="22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После крупного релиза</w:t>
            </w:r>
          </w:p>
        </w:tc>
        <w:tc>
          <w:tcPr>
            <w:tcW w:type="dxa" w:w="71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Создавать отдельную запись; не заменять старую версию без истории изменений.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После инцидента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Обновлять риски, ограничения и рекомендации по использованию.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10.1. Журнал изменений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Дата и автор изменения.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Какие модели или критерии изменены.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Причина: релиз, цена, тест, инцидент или исправление ошибки.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Какие выводы рейтинга изменились.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Ссылка на исходные доказательства.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0F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1557A0"/>
                <w:sz w:val="22"/>
              </w:rPr>
              <w:t>Версионирование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Публикуйте номер редакции и дату на первой странице. Старые версии сохраняйте: это повышает доверие и показывает развитие рынка.</w:t>
            </w:r>
          </w:p>
        </w:tc>
      </w:tr>
    </w:tbl>
    <w:p>
      <w:pPr>
        <w:spacing w:after="0"/>
      </w:pPr>
    </w:p>
    <w:p>
      <w:pPr>
        <w:pStyle w:val="Heading1"/>
      </w:pPr>
      <w:r>
        <w:t>11. Публикация и продуктовая упаковка</w:t>
      </w:r>
    </w:p>
    <w:p>
      <w:r>
        <w:rPr>
          <w:rFonts w:ascii="Calibri" w:hAnsi="Calibri"/>
          <w:b w:val="0"/>
          <w:i w:val="0"/>
          <w:color w:val="20262E"/>
          <w:sz w:val="22"/>
        </w:rPr>
        <w:t>Методичка может работать одновременно как экспертный материал, лид-магнит, элемент портфолио и основа цифрового продукта. Но коммерческая ценность появляется не из количества моделей, а из прозрачной методики и регулярного обновления.</w:t>
      </w:r>
    </w:p>
    <w:p>
      <w:pPr>
        <w:pStyle w:val="Heading2"/>
      </w:pPr>
      <w:r>
        <w:t>11.1. Форматы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PDF/Word-справочник — версия для чтения и отправки клиентам.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Интерактивная таблица — фильтры по задаче, цене, языку, API и рискам.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Веб-сервис — подбор модели по анкете пользователя.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RAG-база знаний — ответы по моделям со ссылками и датой актуальности.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Skill — процедура выбора модели и подготовки обоснованной рекомендации.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Контент-серия — публикации по отдельным категориям и обновлениям.</w:t>
      </w:r>
    </w:p>
    <w:p>
      <w:pPr>
        <w:pStyle w:val="Heading2"/>
      </w:pPr>
      <w:r>
        <w:t>11.2. Позиционирование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2E3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F28C28"/>
                <w:sz w:val="22"/>
              </w:rPr>
              <w:t>Формулировка для личного бренда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Дмитрий Степанов не составляет списки популярных нейросетей. Он проектирует систему выбора AI-модели под бизнес-задачу, проверяет её на реальных сценариях и учитывает стоимость, интеграции, русский язык и риски.</w:t>
            </w:r>
          </w:p>
        </w:tc>
      </w:tr>
    </w:tbl>
    <w:p>
      <w:pPr>
        <w:spacing w:after="0"/>
      </w:pPr>
    </w:p>
    <w:p>
      <w:pPr>
        <w:pStyle w:val="Heading2"/>
      </w:pPr>
      <w:r>
        <w:t>11.3. Что повышает доверие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Открытая методика и понятные веса.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Ссылки на официальные и независимые источники.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Собственный датасет и примеры ошибок.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Раздел «ограничения исследования».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Дата проверки каждой модели.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История версий и исправлений.</w:t>
      </w:r>
    </w:p>
    <w:p>
      <w:pPr>
        <w:pStyle w:val="Heading1"/>
      </w:pPr>
      <w:r>
        <w:t>12. Готовые шаблоны</w:t>
      </w:r>
    </w:p>
    <w:p>
      <w:pPr>
        <w:pStyle w:val="Heading2"/>
      </w:pPr>
      <w:r>
        <w:t>12.1. Краткая карточка модели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Поле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Модель и версия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Дата проверки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Основная категория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Лучшие сценарии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Не рекомендуется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Цена и доступ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Русский язык, 1–10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Качество, 1–10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Надёжность, 1–10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Риски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Итоговая рекомендация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Источники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12.2. Карточка теста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Поле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  <w:shd w:fill="1557A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ID и категория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Запрос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Ожидаемый результат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Критическая ошибка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Primary-метрика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Guard-метрика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MDE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Настройки модели</w:t>
            </w:r>
          </w:p>
        </w:tc>
        <w:tc>
          <w:tcPr>
            <w:tcW w:type="dxa" w:w="6760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  <w:t>Оценка и комментарий</w:t>
            </w:r>
          </w:p>
        </w:tc>
        <w:tc>
          <w:tcPr>
            <w:tcW w:type="dxa" w:w="6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20262E"/>
                <w:sz w:val="18"/>
              </w:rPr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12.3. Финальный чек-лист публикации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У каждой модели указана точная версия и дата проверки.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Рекламные заявления производителей отделены от фактов.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Все цены и лимиты перепроверены по официальным страницам.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Рейтинг воспроизводим: опубликованы критерии, веса и шкала.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Русский язык проверен отдельным набором запросов.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High-stakes категории имеют предупреждения и правила human-in-the-loop.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Ссылки открываются и ведут на первоисточники.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Документ содержит ограничения исследования и журнал изменений.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Таблицы не разрываются неудобным образом и читаются на мобильном экране.</w:t>
      </w:r>
    </w:p>
    <w:p>
      <w:pPr>
        <w:pStyle w:val="ListBullet"/>
      </w:pPr>
      <w:r>
        <w:rPr>
          <w:rFonts w:ascii="Calibri" w:hAnsi="Calibri"/>
          <w:b w:val="0"/>
          <w:i w:val="0"/>
          <w:color w:val="20262E"/>
          <w:sz w:val="22"/>
        </w:rPr>
        <w:t>Сформулирован практический ответ: кому, для чего и при каких условиях подходит модель.</w:t>
      </w:r>
    </w:p>
    <w:p>
      <w:pPr>
        <w:pStyle w:val="Heading1"/>
      </w:pPr>
      <w:r>
        <w:t>13. Основные источники</w:t>
      </w:r>
    </w:p>
    <w:p>
      <w:pPr>
        <w:pStyle w:val="ListBullet"/>
      </w:pPr>
      <w:hyperlink r:id="rId11">
        <w:r>
          <w:rPr>
            <w:color w:val="1557A0"/>
            <w:u w:val="single"/>
          </w:rPr>
          <w:t>NVIDIA: AI agents and enterprise platforms</w:t>
        </w:r>
      </w:hyperlink>
    </w:p>
    <w:p>
      <w:pPr>
        <w:pStyle w:val="ListBullet"/>
      </w:pPr>
      <w:hyperlink r:id="rId12">
        <w:r>
          <w:rPr>
            <w:color w:val="1557A0"/>
            <w:u w:val="single"/>
          </w:rPr>
          <w:t>NVIDIA: Physical AI and robotics</w:t>
        </w:r>
      </w:hyperlink>
    </w:p>
    <w:p>
      <w:pPr>
        <w:pStyle w:val="ListBullet"/>
      </w:pPr>
      <w:hyperlink r:id="rId13">
        <w:r>
          <w:rPr>
            <w:color w:val="1557A0"/>
            <w:u w:val="single"/>
          </w:rPr>
          <w:t>xAI: Grok 4</w:t>
        </w:r>
      </w:hyperlink>
    </w:p>
    <w:p>
      <w:pPr>
        <w:pStyle w:val="ListBullet"/>
      </w:pPr>
      <w:hyperlink r:id="rId14">
        <w:r>
          <w:rPr>
            <w:color w:val="1557A0"/>
            <w:u w:val="single"/>
          </w:rPr>
          <w:t>xAI: Grok 4.1 evaluation</w:t>
        </w:r>
      </w:hyperlink>
    </w:p>
    <w:p>
      <w:pPr>
        <w:pStyle w:val="ListBullet"/>
      </w:pPr>
      <w:hyperlink r:id="rId15">
        <w:r>
          <w:rPr>
            <w:color w:val="1557A0"/>
            <w:u w:val="single"/>
          </w:rPr>
          <w:t>Google: Gemini 2.0 and the agentic era</w:t>
        </w:r>
      </w:hyperlink>
    </w:p>
    <w:p>
      <w:pPr>
        <w:pStyle w:val="ListBullet"/>
      </w:pPr>
      <w:hyperlink r:id="rId16">
        <w:r>
          <w:rPr>
            <w:color w:val="1557A0"/>
            <w:u w:val="single"/>
          </w:rPr>
          <w:t>Google: Gemini 3</w:t>
        </w:r>
      </w:hyperlink>
    </w:p>
    <w:p>
      <w:pPr>
        <w:pStyle w:val="ListBullet"/>
      </w:pPr>
      <w:hyperlink r:id="rId17">
        <w:r>
          <w:rPr>
            <w:color w:val="1557A0"/>
            <w:u w:val="single"/>
          </w:rPr>
          <w:t>Anthropic: recommendations for the U.S. AI Action Plan</w:t>
        </w:r>
      </w:hyperlink>
    </w:p>
    <w:p>
      <w:pPr>
        <w:pStyle w:val="ListBullet"/>
      </w:pPr>
      <w:hyperlink r:id="rId18">
        <w:r>
          <w:rPr>
            <w:color w:val="1557A0"/>
            <w:u w:val="single"/>
          </w:rPr>
          <w:t>OpenAI: Practical guide to building AI agents</w:t>
        </w:r>
      </w:hyperlink>
    </w:p>
    <w:p>
      <w:pPr>
        <w:pStyle w:val="ListBullet"/>
      </w:pPr>
      <w:hyperlink r:id="rId19">
        <w:r>
          <w:rPr>
            <w:color w:val="1557A0"/>
            <w:u w:val="single"/>
          </w:rPr>
          <w:t>OpenAI: Preparedness Framework</w:t>
        </w:r>
      </w:hyperlink>
    </w:p>
    <w:p>
      <w:pPr>
        <w:pStyle w:val="ListBullet"/>
      </w:pPr>
      <w:hyperlink r:id="rId20">
        <w:r>
          <w:rPr>
            <w:color w:val="1557A0"/>
            <w:u w:val="single"/>
          </w:rPr>
          <w:t>OpenAI: Codex app and long-running agents</w:t>
        </w:r>
      </w:hyperlink>
    </w:p>
    <w:p>
      <w:pPr>
        <w:pStyle w:val="ListBullet"/>
      </w:pPr>
      <w:hyperlink r:id="rId21">
        <w:r>
          <w:rPr>
            <w:color w:val="1557A0"/>
            <w:u w:val="single"/>
          </w:rPr>
          <w:t>Reuters: AI infrastructure and Stargate</w:t>
        </w:r>
      </w:hyperlink>
    </w:p>
    <w:p>
      <w:pPr>
        <w:pStyle w:val="ListBullet"/>
      </w:pPr>
      <w:hyperlink r:id="rId22">
        <w:r>
          <w:rPr>
            <w:color w:val="1557A0"/>
            <w:u w:val="single"/>
          </w:rPr>
          <w:t>Financial Times: disagreement over the definition of AGI</w:t>
        </w:r>
      </w:hyperlink>
    </w:p>
    <w:p>
      <w:r>
        <w:rPr>
          <w:rFonts w:ascii="Calibri" w:hAnsi="Calibri"/>
          <w:b w:val="0"/>
          <w:i w:val="0"/>
          <w:color w:val="20262E"/>
          <w:sz w:val="22"/>
        </w:rPr>
        <w:t>Примечание: сведения о моделях, ценах и доступности необходимо повторно проверять непосредственно перед каждой новой публикацией справочника.</w:t>
      </w:r>
    </w:p>
    <w:p>
      <w:pPr>
        <w:pStyle w:val="Heading1"/>
      </w:pPr>
      <w:r>
        <w:t>Заключение</w:t>
      </w:r>
    </w:p>
    <w:p>
      <w:r>
        <w:rPr>
          <w:rFonts w:ascii="Calibri" w:hAnsi="Calibri"/>
          <w:b w:val="0"/>
          <w:i w:val="0"/>
          <w:color w:val="20262E"/>
          <w:sz w:val="22"/>
        </w:rPr>
        <w:t>Профессиональный обзор AI-моделей — это не соревнование брендов и не перепечатка benchmark-таблиц. Это управляемый процесс: определить задачу, собрать доказательства, провести тест, учесть стоимость и риски, объяснить решение и зафиксировать дату актуальности.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2E3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i w:val="0"/>
                <w:color w:val="F28C28"/>
                <w:sz w:val="22"/>
              </w:rPr>
              <w:t>Финальная формула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0262E"/>
                <w:sz w:val="21"/>
              </w:rPr>
              <w:t>Сильный справочник = прозрачная методика + проверяемые источники + собственные тесты + регулярное обновление + честное описание ограничений.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B6573"/>
        <w:sz w:val="16"/>
      </w:rPr>
      <w:t>Дмитрий Степанов | Практическая редакция 1.0 | август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1557A0"/>
        <w:sz w:val="17"/>
      </w:rPr>
      <w:t>МЕТОДИКА ОЦЕНКИ AI-МОДЕЛЕЙ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026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557A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557A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23B6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vidianews.nvidia.com/news/ai-agents" TargetMode="External"/><Relationship Id="rId12" Type="http://schemas.openxmlformats.org/officeDocument/2006/relationships/hyperlink" Target="https://nvidianews.nvidia.com/news/nvidia-and-global-robotics-leaders-take-physical-ai-to-the-real-world" TargetMode="External"/><Relationship Id="rId13" Type="http://schemas.openxmlformats.org/officeDocument/2006/relationships/hyperlink" Target="https://x.ai/news/grok-4" TargetMode="External"/><Relationship Id="rId14" Type="http://schemas.openxmlformats.org/officeDocument/2006/relationships/hyperlink" Target="https://x.ai/news/grok-4-1" TargetMode="External"/><Relationship Id="rId15" Type="http://schemas.openxmlformats.org/officeDocument/2006/relationships/hyperlink" Target="https://blog.google/innovation-and-ai/models-and-research/google-deepmind/google-gemini-ai-update-december-2024/" TargetMode="External"/><Relationship Id="rId16" Type="http://schemas.openxmlformats.org/officeDocument/2006/relationships/hyperlink" Target="https://blog.google/products-and-platforms/products/gemini/gemini-3/" TargetMode="External"/><Relationship Id="rId17" Type="http://schemas.openxmlformats.org/officeDocument/2006/relationships/hyperlink" Target="https://www.anthropic.com/news/anthropic-s-recommendations-ostp-u-s-ai-action-plan" TargetMode="External"/><Relationship Id="rId18" Type="http://schemas.openxmlformats.org/officeDocument/2006/relationships/hyperlink" Target="https://openai.com/business/guides-and-resources/a-practical-guide-to-building-ai-agents/" TargetMode="External"/><Relationship Id="rId19" Type="http://schemas.openxmlformats.org/officeDocument/2006/relationships/hyperlink" Target="https://openai.com/index/updating-our-preparedness-framework/" TargetMode="External"/><Relationship Id="rId20" Type="http://schemas.openxmlformats.org/officeDocument/2006/relationships/hyperlink" Target="https://openai.com/index/introducing-the-codex-app/" TargetMode="External"/><Relationship Id="rId21" Type="http://schemas.openxmlformats.org/officeDocument/2006/relationships/hyperlink" Target="https://www.reuters.com/technology/artificial-intelligence/trump-announce-private-sector-ai-infrastructure-investment-cbs-reports-2025-01-21/" TargetMode="External"/><Relationship Id="rId22" Type="http://schemas.openxmlformats.org/officeDocument/2006/relationships/hyperlink" Target="https://www.ft.com/content/d20e8c22-bc03-4404-ac93-f7886525d8d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оценки и выбора AI-моделей</dc:title>
  <dc:subject>Практическое руководство для промпт-инженера и архитектора AI-систем</dc:subject>
  <dc:creator>Дмитрий Степанов</dc:creator>
  <cp:keywords>AI-модели, рейтинг, prompt engineering, агенты, RAG, оценка моделей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