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 w:line="300" w:lineRule="auto"/>
        <w:jc w:val="center"/>
        <w:widowControl w:val="1"/>
      </w:pPr>
      <w:r>
        <w:rPr>
          <w:rFonts w:ascii="Calibri" w:hAnsi="Calibri"/>
          <w:b/>
          <w:i w:val="0"/>
          <w:color w:val="C28A2E"/>
          <w:sz w:val="20"/>
        </w:rPr>
        <w:t>МЕТОДИЧЕСКОЕ РУКОВОДСТВО</w:t>
      </w:r>
    </w:p>
    <w:p>
      <w:pPr>
        <w:spacing w:before="0" w:after="240" w:line="300" w:lineRule="auto"/>
        <w:jc w:val="center"/>
        <w:widowControl w:val="1"/>
      </w:pPr>
      <w:r>
        <w:rPr>
          <w:rFonts w:ascii="Calibri" w:hAnsi="Calibri"/>
          <w:b/>
          <w:i w:val="0"/>
          <w:color w:val="1F4D78"/>
          <w:sz w:val="50"/>
        </w:rPr>
        <w:t>Экономическое обоснование</w:t>
        <w:br/>
        <w:t>и внедрение AI-проектов</w:t>
      </w:r>
    </w:p>
    <w:p>
      <w:pPr>
        <w:spacing w:before="0" w:after="720" w:line="300" w:lineRule="auto"/>
        <w:jc w:val="center"/>
        <w:widowControl w:val="1"/>
      </w:pPr>
      <w:r>
        <w:rPr>
          <w:rFonts w:ascii="Calibri" w:hAnsi="Calibri"/>
          <w:b w:val="0"/>
          <w:i/>
          <w:color w:val="2E74B5"/>
          <w:sz w:val="26"/>
        </w:rPr>
        <w:t>От бизнес-проблемы и пилота — к договору, измеримому эффекту и безопасному масштабированию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8E6"/>
          <w:left w:val="single" w:sz="6" w:color="C9D8E6"/>
          <w:bottom w:val="single" w:sz="6" w:color="C9D8E6"/>
          <w:right w:val="single" w:sz="6" w:color="C9D8E6"/>
          <w:insideH w:val="single" w:sz="6" w:color="C9D8E6"/>
          <w:insideV w:val="single" w:sz="6" w:color="C9D8E6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EF4F8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 xml:space="preserve">Назначение. </w:t>
            </w:r>
            <w:r>
              <w:rPr>
                <w:rFonts w:ascii="Calibri" w:hAnsi="Calibri"/>
                <w:b w:val="0"/>
                <w:i w:val="0"/>
                <w:sz w:val="22"/>
              </w:rPr>
              <w:t>Практическая методика для AI-архитектора, проектного менеджера, интегратора, руководителя цифровой трансформации и исполнителя, который должен доказать ценность решения и довести его до рабочего результата.</w:t>
            </w:r>
          </w:p>
        </w:tc>
      </w:tr>
    </w:tbl>
    <w:p>
      <w:pPr>
        <w:spacing w:after="40"/>
        <w:widowControl w:val="1"/>
      </w:pPr>
    </w:p>
    <w:p>
      <w:pPr>
        <w:spacing w:before="0" w:after="440" w:line="300" w:lineRule="auto"/>
        <w:jc w:val="center"/>
        <w:widowControl w:val="1"/>
      </w:pPr>
      <w:r>
        <w:rPr>
          <w:rFonts w:ascii="Calibri" w:hAnsi="Calibri"/>
          <w:b w:val="0"/>
          <w:i w:val="0"/>
          <w:color w:val="666666"/>
          <w:sz w:val="20"/>
        </w:rPr>
        <w:t>Основано на анализе учебных материалов от 28.08.2026 и литературе по инвестициям, инновациям, проектному управлению, принятию технологий и AI за 1926–2026 годы.</w:t>
      </w:r>
    </w:p>
    <w:p>
      <w:pPr>
        <w:spacing w:before="0" w:after="80" w:line="300" w:lineRule="auto"/>
        <w:jc w:val="center"/>
        <w:widowControl w:val="1"/>
      </w:pPr>
      <w:r>
        <w:rPr>
          <w:rFonts w:ascii="Calibri" w:hAnsi="Calibri"/>
          <w:b/>
          <w:i w:val="0"/>
          <w:sz w:val="22"/>
        </w:rPr>
        <w:t>Автор-составитель: Дмитрий Степанов</w:t>
      </w:r>
    </w:p>
    <w:p>
      <w:pPr>
        <w:spacing w:before="0" w:after="120" w:line="300" w:lineRule="auto"/>
        <w:jc w:val="center"/>
        <w:widowControl w:val="1"/>
      </w:pPr>
      <w:r>
        <w:rPr>
          <w:rFonts w:ascii="Calibri" w:hAnsi="Calibri"/>
          <w:b w:val="0"/>
          <w:i w:val="0"/>
          <w:color w:val="666666"/>
          <w:sz w:val="20"/>
        </w:rPr>
        <w:t>Дата редакции: 28 августа 2026 года</w:t>
      </w:r>
    </w:p>
    <w:p>
      <w:pPr>
        <w:widowControl w:val="1"/>
      </w:pPr>
      <w:r>
        <w:br w:type="page"/>
      </w:r>
    </w:p>
    <w:p>
      <w:pPr>
        <w:pStyle w:val="Heading1"/>
        <w:widowControl w:val="1"/>
      </w:pPr>
      <w:r>
        <w:t>Аннотация</w:t>
      </w:r>
    </w:p>
    <w:p>
      <w:pPr>
        <w:spacing w:before="0"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Методичка объединяет столетний опыт финансового обоснования инвестиций, управления инновациями и организационными изменениями с современными практиками внедрения генеративного и агентного AI. В центре внимания находится не демонстрация технологии как таковой, а доказательство измеримой бизнес-ценности при контролируемом риске.</w:t>
      </w:r>
    </w:p>
    <w:p>
      <w:pPr>
        <w:pStyle w:val="Heading2"/>
        <w:widowControl w:val="1"/>
      </w:pPr>
      <w:r>
        <w:t>Результаты обучения</w:t>
      </w:r>
    </w:p>
    <w:p>
      <w:pPr>
        <w:pStyle w:val="ListBullet"/>
        <w:spacing w:after="80" w:line="300" w:lineRule="auto"/>
        <w:widowControl w:val="1"/>
      </w:pPr>
      <w:r>
        <w:t>переводить техническое решение на язык бизнес-показателей;</w:t>
      </w:r>
    </w:p>
    <w:p>
      <w:pPr>
        <w:pStyle w:val="ListBullet"/>
        <w:spacing w:after="80" w:line="300" w:lineRule="auto"/>
        <w:widowControl w:val="1"/>
      </w:pPr>
      <w:r>
        <w:t>рассчитывать TCO, ROI, payback и NPV без подмены базы затрат;</w:t>
      </w:r>
    </w:p>
    <w:p>
      <w:pPr>
        <w:pStyle w:val="ListBullet"/>
        <w:spacing w:after="80" w:line="300" w:lineRule="auto"/>
        <w:widowControl w:val="1"/>
      </w:pPr>
      <w:r>
        <w:t>проектировать проверяемый пилот и критерии приёмки;</w:t>
      </w:r>
    </w:p>
    <w:p>
      <w:pPr>
        <w:pStyle w:val="ListBullet"/>
        <w:spacing w:after="80" w:line="300" w:lineRule="auto"/>
        <w:widowControl w:val="1"/>
      </w:pPr>
      <w:r>
        <w:t>готовить презентацию для ЛПР, IT, финансовой службы и пользователей;</w:t>
      </w:r>
    </w:p>
    <w:p>
      <w:pPr>
        <w:pStyle w:val="ListBullet"/>
        <w:spacing w:after="80" w:line="300" w:lineRule="auto"/>
        <w:widowControl w:val="1"/>
      </w:pPr>
      <w:r>
        <w:t>фиксировать ответственность, безопасность, ограничения и порядок эскалации;</w:t>
      </w:r>
    </w:p>
    <w:p>
      <w:pPr>
        <w:pStyle w:val="ListBullet"/>
        <w:spacing w:after="80" w:line="300" w:lineRule="auto"/>
        <w:widowControl w:val="1"/>
      </w:pPr>
      <w:r>
        <w:t>принимать доказательное решение о масштабировании или остановке проекта.</w:t>
      </w:r>
    </w:p>
    <w:p>
      <w:pPr>
        <w:pStyle w:val="Heading2"/>
        <w:widowControl w:val="1"/>
      </w:pPr>
      <w:r>
        <w:t>Как пользоваться методичкой</w:t>
      </w:r>
    </w:p>
    <w:p>
      <w:pPr>
        <w:spacing w:before="0"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Разделы 1–4 дают основу; разделы 5–9 образуют рабочий процесс; разделы 10–12 содержат шаблоны, чек-листы и литературу. Для реального проекта заполняйте выделенные формы последовательно и сохраняйте подтверждения исходных данных.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8E6"/>
          <w:left w:val="single" w:sz="6" w:color="C9D8E6"/>
          <w:bottom w:val="single" w:sz="6" w:color="C9D8E6"/>
          <w:right w:val="single" w:sz="6" w:color="C9D8E6"/>
          <w:insideH w:val="single" w:sz="6" w:color="C9D8E6"/>
          <w:insideV w:val="single" w:sz="6" w:color="C9D8E6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AF4EC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2E6B45"/>
                <w:sz w:val="22"/>
              </w:rPr>
              <w:t xml:space="preserve">Главный принцип. </w:t>
            </w:r>
            <w:r>
              <w:rPr>
                <w:rFonts w:ascii="Calibri" w:hAnsi="Calibri"/>
                <w:b w:val="0"/>
                <w:i w:val="0"/>
                <w:sz w:val="22"/>
              </w:rPr>
              <w:t>AI-проект считается успешным не тогда, когда модель отвечает, а когда подтверждённая выгода устойчиво превышает полную стоимость и принятые риски.</w:t>
            </w:r>
          </w:p>
        </w:tc>
      </w:tr>
    </w:tbl>
    <w:p>
      <w:pPr>
        <w:spacing w:after="40"/>
        <w:widowControl w:val="1"/>
      </w:pPr>
    </w:p>
    <w:p>
      <w:pPr>
        <w:pStyle w:val="Heading1"/>
        <w:widowControl w:val="1"/>
      </w:pPr>
      <w:r>
        <w:t>Содержание</w:t>
      </w:r>
    </w:p>
    <w:p>
      <w:pPr>
        <w:spacing w:before="0"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1. Эволюция подходов за 100 лет</w:t>
      </w:r>
    </w:p>
    <w:p>
      <w:pPr>
        <w:spacing w:before="0"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2. Что продаётся в AI-проекте</w:t>
      </w:r>
    </w:p>
    <w:p>
      <w:pPr>
        <w:spacing w:before="0"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3. Диагностика бизнес-проблемы</w:t>
      </w:r>
    </w:p>
    <w:p>
      <w:pPr>
        <w:spacing w:before="0"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4. Экономическое обоснование</w:t>
      </w:r>
    </w:p>
    <w:p>
      <w:pPr>
        <w:spacing w:before="0"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5. Проектирование пилота</w:t>
      </w:r>
    </w:p>
    <w:p>
      <w:pPr>
        <w:spacing w:before="0"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6. Архитектура доверия и безопасность</w:t>
      </w:r>
    </w:p>
    <w:p>
      <w:pPr>
        <w:spacing w:before="0"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7. Работа со стейкхолдерами</w:t>
      </w:r>
    </w:p>
    <w:p>
      <w:pPr>
        <w:spacing w:before="0"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8. Презентация и демонстрация</w:t>
      </w:r>
    </w:p>
    <w:p>
      <w:pPr>
        <w:spacing w:before="0"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9. Возражения, коммерческое предложение и договор</w:t>
      </w:r>
    </w:p>
    <w:p>
      <w:pPr>
        <w:spacing w:before="0"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10. Внедрение и контроль эффектов</w:t>
      </w:r>
    </w:p>
    <w:p>
      <w:pPr>
        <w:spacing w:before="0"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11. Практические шаблоны и чек-листы</w:t>
      </w:r>
    </w:p>
    <w:p>
      <w:pPr>
        <w:spacing w:before="0"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12. Периодические материалы и литература</w:t>
      </w:r>
    </w:p>
    <w:p>
      <w:pPr>
        <w:widowControl w:val="1"/>
      </w:pPr>
      <w:r>
        <w:br w:type="page"/>
      </w:r>
    </w:p>
    <w:p>
      <w:pPr>
        <w:pStyle w:val="Heading1"/>
        <w:widowControl w:val="1"/>
      </w:pPr>
      <w:r>
        <w:t>1. Эволюция подходов за 100 лет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1500"/>
        <w:gridCol w:w="3000"/>
        <w:gridCol w:w="4860"/>
      </w:tblGrid>
      <w:tr>
        <w:trPr>
          <w:tblHeader w:val="true"/>
        </w:trPr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Период</w:t>
            </w:r>
          </w:p>
        </w:tc>
        <w:tc>
          <w:tcPr>
            <w:tcW w:type="dxa" w:w="30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Ключевая идея</w:t>
            </w:r>
          </w:p>
        </w:tc>
        <w:tc>
          <w:tcPr>
            <w:tcW w:type="dxa" w:w="48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Применение к AI-проекту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1926–1945</w:t>
            </w:r>
          </w:p>
        </w:tc>
        <w:tc>
          <w:tcPr>
            <w:tcW w:type="dxa" w:w="3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Временная стоимость денег и инвестиционная оценка</w:t>
            </w:r>
          </w:p>
        </w:tc>
        <w:tc>
          <w:tcPr>
            <w:tcW w:type="dxa" w:w="48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Дисконтировать выгоды; считать весь денежный поток.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1946–1960</w:t>
            </w:r>
          </w:p>
        </w:tc>
        <w:tc>
          <w:tcPr>
            <w:tcW w:type="dxa" w:w="3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Организационное изменение и поведение групп</w:t>
            </w:r>
          </w:p>
        </w:tc>
        <w:tc>
          <w:tcPr>
            <w:tcW w:type="dxa" w:w="48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Готовить людей и закреплять новый процесс.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1961–1980</w:t>
            </w:r>
          </w:p>
        </w:tc>
        <w:tc>
          <w:tcPr>
            <w:tcW w:type="dxa" w:w="3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Диффузия инноваций и системный анализ</w:t>
            </w:r>
          </w:p>
        </w:tc>
        <w:tc>
          <w:tcPr>
            <w:tcW w:type="dxa" w:w="48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Начинать с ранних сторонников и пилота.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1981–2000</w:t>
            </w:r>
          </w:p>
        </w:tc>
        <w:tc>
          <w:tcPr>
            <w:tcW w:type="dxa" w:w="3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Стейкхолдеры, конкурентная ценность, принятие IT</w:t>
            </w:r>
          </w:p>
        </w:tc>
        <w:tc>
          <w:tcPr>
            <w:tcW w:type="dxa" w:w="48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Разные аргументы для ЛПР, IT, CFO и пользователей.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2001–2015</w:t>
            </w:r>
          </w:p>
        </w:tc>
        <w:tc>
          <w:tcPr>
            <w:tcW w:type="dxa" w:w="3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Agile, MVP и управление выгодами</w:t>
            </w:r>
          </w:p>
        </w:tc>
        <w:tc>
          <w:tcPr>
            <w:tcW w:type="dxa" w:w="48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Проверять гипотезу короткими итерациями.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2016–2022</w:t>
            </w:r>
          </w:p>
        </w:tc>
        <w:tc>
          <w:tcPr>
            <w:tcW w:type="dxa" w:w="3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Цифровая трансформация и Responsible AI</w:t>
            </w:r>
          </w:p>
        </w:tc>
        <w:tc>
          <w:tcPr>
            <w:tcW w:type="dxa" w:w="48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Связывать модель с данными, процессом и контролем.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2023–2026</w:t>
            </w:r>
          </w:p>
        </w:tc>
        <w:tc>
          <w:tcPr>
            <w:tcW w:type="dxa" w:w="3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Генеративный и агентный AI</w:t>
            </w:r>
          </w:p>
        </w:tc>
        <w:tc>
          <w:tcPr>
            <w:tcW w:type="dxa" w:w="48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Оценивать автономность, риски и устойчивый эффект.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1.1. Финансовая школа</w:t>
      </w:r>
    </w:p>
    <w:p>
      <w:pPr>
        <w:spacing w:before="0"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Ирвинг Фишер систематизировал временную стоимость денег. Для AI это означает, что нельзя сравнивать разовую разработку только с номинальной годовой экономией: затраты, поддержка, риск и момент возникновения выгод должны находиться в одной модели.</w:t>
      </w:r>
    </w:p>
    <w:p>
      <w:pPr>
        <w:pStyle w:val="Heading2"/>
        <w:widowControl w:val="1"/>
      </w:pPr>
      <w:r>
        <w:t>1.2. Инновации и организационные изменения</w:t>
      </w:r>
    </w:p>
    <w:p>
      <w:pPr>
        <w:spacing w:before="0"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Шумпетер показал роль инноваций в развитии бизнеса; Левин — необходимость подготовки и закрепления изменений; Роджерс — неоднородность принятия инноваций. Вместе эти идеи объясняют, почему сильная технология может не дать эффекта без нового процесса и внутренних сторонников.</w:t>
      </w:r>
    </w:p>
    <w:p>
      <w:pPr>
        <w:pStyle w:val="Heading2"/>
        <w:widowControl w:val="1"/>
      </w:pPr>
      <w:r>
        <w:t>1.3. Стейкхолдеры и принятие технологий</w:t>
      </w:r>
    </w:p>
    <w:p>
      <w:pPr>
        <w:spacing w:before="0"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Фримен расширил объект управления до всех заинтересованных сторон. Модель Дэвиса показала роль воспринимаемой полезности и простоты использования. Следствие: успех определяется не только точностью модели, но и тем, доверяет ли ей пользователь и вписывается ли она в работу.</w:t>
      </w:r>
    </w:p>
    <w:p>
      <w:pPr>
        <w:pStyle w:val="Heading2"/>
        <w:widowControl w:val="1"/>
      </w:pPr>
      <w:r>
        <w:t>1.4. Современный AI</w:t>
      </w:r>
    </w:p>
    <w:p>
      <w:pPr>
        <w:spacing w:before="0"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NIST и OECD добавляют требования доверия, прозрачности, подотчётности, защиты данных и управления рисками. Современный проект должен иметь не только KPI эффекта, но и guard-метрики, критерии остановки и человеческий контроль.</w:t>
      </w:r>
    </w:p>
    <w:p>
      <w:pPr>
        <w:widowControl w:val="1"/>
      </w:pPr>
      <w:r>
        <w:br w:type="page"/>
      </w:r>
    </w:p>
    <w:p>
      <w:pPr>
        <w:pStyle w:val="Heading1"/>
        <w:widowControl w:val="1"/>
      </w:pPr>
      <w:r>
        <w:t>2. Что действительно продаётся в AI-проекте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8E6"/>
          <w:left w:val="single" w:sz="6" w:color="C9D8E6"/>
          <w:bottom w:val="single" w:sz="6" w:color="C9D8E6"/>
          <w:right w:val="single" w:sz="6" w:color="C9D8E6"/>
          <w:insideH w:val="single" w:sz="6" w:color="C9D8E6"/>
          <w:insideV w:val="single" w:sz="6" w:color="C9D8E6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8FB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 xml:space="preserve">Не продавайте стек. </w:t>
            </w:r>
            <w:r>
              <w:rPr>
                <w:rFonts w:ascii="Calibri" w:hAnsi="Calibri"/>
                <w:b w:val="0"/>
                <w:i w:val="0"/>
                <w:sz w:val="22"/>
              </w:rPr>
              <w:t>Клиент покупает изменение показателя и снижение риска, а не GPT, RAG, векторную базу или оркестратор.</w:t>
            </w:r>
          </w:p>
        </w:tc>
      </w:tr>
    </w:tbl>
    <w:p>
      <w:pPr>
        <w:spacing w:after="40"/>
        <w:widowControl w:val="1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3300"/>
        <w:gridCol w:w="6060"/>
      </w:tblGrid>
      <w:tr>
        <w:trPr>
          <w:tblHeader w:val="true"/>
        </w:trPr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Техническая формулировка</w:t>
            </w:r>
          </w:p>
        </w:tc>
        <w:tc>
          <w:tcPr>
            <w:tcW w:type="dxa" w:w="60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Формулировка на языке бизнеса</w:t>
            </w:r>
          </w:p>
        </w:tc>
      </w:tr>
      <w:tr>
        <w:tc>
          <w:tcPr>
            <w:tcW w:type="dxa" w:w="3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RAG и векторный поиск</w:t>
            </w:r>
          </w:p>
        </w:tc>
        <w:tc>
          <w:tcPr>
            <w:tcW w:type="dxa" w:w="6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Ответ формируется по утверждённой базе знаний с указанием источника.</w:t>
            </w:r>
          </w:p>
        </w:tc>
      </w:tr>
      <w:tr>
        <w:tc>
          <w:tcPr>
            <w:tcW w:type="dxa" w:w="3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Низкая temperature</w:t>
            </w:r>
          </w:p>
        </w:tc>
        <w:tc>
          <w:tcPr>
            <w:tcW w:type="dxa" w:w="6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Ответы более воспроизводимы в типовых сценариях.</w:t>
            </w:r>
          </w:p>
        </w:tc>
      </w:tr>
      <w:tr>
        <w:tc>
          <w:tcPr>
            <w:tcW w:type="dxa" w:w="3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n8n / API / webhook</w:t>
            </w:r>
          </w:p>
        </w:tc>
        <w:tc>
          <w:tcPr>
            <w:tcW w:type="dxa" w:w="6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Заявка автоматически попадает в действующую CRM без повторного ввода.</w:t>
            </w:r>
          </w:p>
        </w:tc>
      </w:tr>
      <w:tr>
        <w:tc>
          <w:tcPr>
            <w:tcW w:type="dxa" w:w="3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Guardrails</w:t>
            </w:r>
          </w:p>
        </w:tc>
        <w:tc>
          <w:tcPr>
            <w:tcW w:type="dxa" w:w="6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При сомнении запрос блокируется или передаётся человеку.</w:t>
            </w:r>
          </w:p>
        </w:tc>
      </w:tr>
      <w:tr>
        <w:tc>
          <w:tcPr>
            <w:tcW w:type="dxa" w:w="3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Observability</w:t>
            </w:r>
          </w:p>
        </w:tc>
        <w:tc>
          <w:tcPr>
            <w:tcW w:type="dxa" w:w="6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Ошибки, задержки и стоимость запросов видны в журнале и дашборде.</w:t>
            </w:r>
          </w:p>
        </w:tc>
      </w:tr>
      <w:tr>
        <w:tc>
          <w:tcPr>
            <w:tcW w:type="dxa" w:w="3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Agentic workflow</w:t>
            </w:r>
          </w:p>
        </w:tc>
        <w:tc>
          <w:tcPr>
            <w:tcW w:type="dxa" w:w="6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Система выполняет разрешённую последовательность действий с контрольными точками.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2.1. Пять уровней ценности</w:t>
      </w:r>
    </w:p>
    <w:p>
      <w:pPr>
        <w:pStyle w:val="ListNumber"/>
        <w:numPr>
          <w:ilvl w:val="0"/>
          <w:numId w:val="10"/>
        </w:numPr>
        <w:spacing w:after="80" w:line="300" w:lineRule="auto"/>
        <w:widowControl w:val="1"/>
      </w:pPr>
      <w:r>
        <w:t>операционная: быстрее, дешевле, меньше ошибок;</w:t>
      </w:r>
    </w:p>
    <w:p>
      <w:pPr>
        <w:pStyle w:val="ListNumber"/>
        <w:numPr>
          <w:ilvl w:val="0"/>
          <w:numId w:val="10"/>
        </w:numPr>
        <w:spacing w:after="80" w:line="300" w:lineRule="auto"/>
        <w:widowControl w:val="1"/>
      </w:pPr>
      <w:r>
        <w:t>клиентская: выше доступность, скорость и последовательность сервиса;</w:t>
      </w:r>
    </w:p>
    <w:p>
      <w:pPr>
        <w:pStyle w:val="ListNumber"/>
        <w:numPr>
          <w:ilvl w:val="0"/>
          <w:numId w:val="10"/>
        </w:numPr>
        <w:spacing w:after="80" w:line="300" w:lineRule="auto"/>
        <w:widowControl w:val="1"/>
      </w:pPr>
      <w:r>
        <w:t>управленческая: лучше данные и прозрачность процесса;</w:t>
      </w:r>
    </w:p>
    <w:p>
      <w:pPr>
        <w:pStyle w:val="ListNumber"/>
        <w:numPr>
          <w:ilvl w:val="0"/>
          <w:numId w:val="10"/>
        </w:numPr>
        <w:spacing w:after="80" w:line="300" w:lineRule="auto"/>
        <w:widowControl w:val="1"/>
      </w:pPr>
      <w:r>
        <w:t>стратегическая: новый продукт, канал или бизнес-модель;</w:t>
      </w:r>
    </w:p>
    <w:p>
      <w:pPr>
        <w:pStyle w:val="ListNumber"/>
        <w:numPr>
          <w:ilvl w:val="0"/>
          <w:numId w:val="10"/>
        </w:numPr>
        <w:spacing w:after="80" w:line="300" w:lineRule="auto"/>
        <w:widowControl w:val="1"/>
      </w:pPr>
      <w:r>
        <w:t>защитная: снижение регуляторного, информационного и репутационного риска.</w:t>
      </w:r>
    </w:p>
    <w:p>
      <w:pPr>
        <w:pStyle w:val="Heading2"/>
        <w:widowControl w:val="1"/>
      </w:pPr>
      <w:r>
        <w:t>2.2. Формула ценностного предложения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8E6"/>
          <w:left w:val="single" w:sz="6" w:color="C9D8E6"/>
          <w:bottom w:val="single" w:sz="6" w:color="C9D8E6"/>
          <w:right w:val="single" w:sz="6" w:color="C9D8E6"/>
          <w:insideH w:val="single" w:sz="6" w:color="C9D8E6"/>
          <w:insideV w:val="single" w:sz="6" w:color="C9D8E6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8FB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 xml:space="preserve">Шаблон. </w:t>
            </w:r>
            <w:r>
              <w:rPr>
                <w:rFonts w:ascii="Calibri" w:hAnsi="Calibri"/>
                <w:b w:val="0"/>
                <w:i w:val="0"/>
                <w:sz w:val="22"/>
              </w:rPr>
              <w:t>Для [целевой роли], которая сталкивается с [измеримой проблемой], решение [изменение процесса] обеспечивает [целевой эффект] за [срок], при ограничениях [риски и контроль].</w:t>
            </w:r>
          </w:p>
        </w:tc>
      </w:tr>
    </w:tbl>
    <w:p>
      <w:pPr>
        <w:spacing w:after="40"/>
        <w:widowControl w:val="1"/>
      </w:pPr>
    </w:p>
    <w:p>
      <w:pPr>
        <w:pStyle w:val="Heading1"/>
        <w:widowControl w:val="1"/>
      </w:pPr>
      <w:r>
        <w:t>3. Диагностика бизнес-проблемы</w:t>
      </w:r>
    </w:p>
    <w:p>
      <w:pPr>
        <w:pStyle w:val="Heading2"/>
        <w:widowControl w:val="1"/>
      </w:pPr>
      <w:r>
        <w:t>3.1. Обязательные вопросы discovery</w:t>
      </w:r>
    </w:p>
    <w:p>
      <w:pPr>
        <w:pStyle w:val="ListNumber"/>
        <w:numPr>
          <w:ilvl w:val="0"/>
          <w:numId w:val="11"/>
        </w:numPr>
        <w:spacing w:after="80" w:line="300" w:lineRule="auto"/>
        <w:widowControl w:val="1"/>
      </w:pPr>
      <w:r>
        <w:t>Какой процесс рассматривается и где он начинается и заканчивается?</w:t>
      </w:r>
    </w:p>
    <w:p>
      <w:pPr>
        <w:pStyle w:val="ListNumber"/>
        <w:numPr>
          <w:ilvl w:val="0"/>
          <w:numId w:val="11"/>
        </w:numPr>
        <w:spacing w:after="80" w:line="300" w:lineRule="auto"/>
        <w:widowControl w:val="1"/>
      </w:pPr>
      <w:r>
        <w:t>Каков объём операций, обращений или документов?</w:t>
      </w:r>
    </w:p>
    <w:p>
      <w:pPr>
        <w:pStyle w:val="ListNumber"/>
        <w:numPr>
          <w:ilvl w:val="0"/>
          <w:numId w:val="11"/>
        </w:numPr>
        <w:spacing w:after="80" w:line="300" w:lineRule="auto"/>
        <w:widowControl w:val="1"/>
      </w:pPr>
      <w:r>
        <w:t>Сколько времени и денег процесс потребляет сейчас?</w:t>
      </w:r>
    </w:p>
    <w:p>
      <w:pPr>
        <w:pStyle w:val="ListNumber"/>
        <w:numPr>
          <w:ilvl w:val="0"/>
          <w:numId w:val="11"/>
        </w:numPr>
        <w:spacing w:after="80" w:line="300" w:lineRule="auto"/>
        <w:widowControl w:val="1"/>
      </w:pPr>
      <w:r>
        <w:t>Какие ошибки наиболее опасны и какова их цена?</w:t>
      </w:r>
    </w:p>
    <w:p>
      <w:pPr>
        <w:pStyle w:val="ListNumber"/>
        <w:numPr>
          <w:ilvl w:val="0"/>
          <w:numId w:val="11"/>
        </w:numPr>
        <w:spacing w:after="80" w:line="300" w:lineRule="auto"/>
        <w:widowControl w:val="1"/>
      </w:pPr>
      <w:r>
        <w:t>Какие данные доступны и кто имеет право их использовать?</w:t>
      </w:r>
    </w:p>
    <w:p>
      <w:pPr>
        <w:pStyle w:val="ListNumber"/>
        <w:numPr>
          <w:ilvl w:val="0"/>
          <w:numId w:val="11"/>
        </w:numPr>
        <w:spacing w:after="80" w:line="300" w:lineRule="auto"/>
        <w:widowControl w:val="1"/>
      </w:pPr>
      <w:r>
        <w:t>Кто владелец процесса, бюджета, выгоды и риска?</w:t>
      </w:r>
    </w:p>
    <w:p>
      <w:pPr>
        <w:pStyle w:val="ListNumber"/>
        <w:numPr>
          <w:ilvl w:val="0"/>
          <w:numId w:val="11"/>
        </w:numPr>
        <w:spacing w:after="80" w:line="300" w:lineRule="auto"/>
        <w:widowControl w:val="1"/>
      </w:pPr>
      <w:r>
        <w:t>Какой результат будет достаточным для решения о масштабировании?</w:t>
      </w:r>
    </w:p>
    <w:p>
      <w:pPr>
        <w:pStyle w:val="Heading2"/>
        <w:widowControl w:val="1"/>
      </w:pPr>
      <w:r>
        <w:t>3.2. Паспорт исходного состояния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Поле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Что зафиксировать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Бизнес-процесс</w:t>
            </w:r>
          </w:p>
        </w:tc>
        <w:tc>
          <w:tcPr>
            <w:tcW w:type="dxa" w:w="66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Границы, участники, входы, выходы.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Baseline</w:t>
            </w:r>
          </w:p>
        </w:tc>
        <w:tc>
          <w:tcPr>
            <w:tcW w:type="dxa" w:w="66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Текущее время, стоимость, качество, объём.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Проблема</w:t>
            </w:r>
          </w:p>
        </w:tc>
        <w:tc>
          <w:tcPr>
            <w:tcW w:type="dxa" w:w="66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Наблюдаемый разрыв, а не предполагаемая причина.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Данные</w:t>
            </w:r>
          </w:p>
        </w:tc>
        <w:tc>
          <w:tcPr>
            <w:tcW w:type="dxa" w:w="66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Источники, качество, доступ, ПДн, срок хранения.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Ограничения</w:t>
            </w:r>
          </w:p>
        </w:tc>
        <w:tc>
          <w:tcPr>
            <w:tcW w:type="dxa" w:w="66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Бюджет, срок, интеграции, нормативные требования.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Владелец</w:t>
            </w:r>
          </w:p>
        </w:tc>
        <w:tc>
          <w:tcPr>
            <w:tcW w:type="dxa" w:w="66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Кто отвечает за процесс и подтверждает эффект.</w:t>
            </w:r>
          </w:p>
        </w:tc>
      </w:tr>
    </w:tbl>
    <w:p>
      <w:pPr>
        <w:spacing w:after="40"/>
        <w:widowControl w:val="1"/>
      </w:pP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8E6"/>
          <w:left w:val="single" w:sz="6" w:color="C9D8E6"/>
          <w:bottom w:val="single" w:sz="6" w:color="C9D8E6"/>
          <w:right w:val="single" w:sz="6" w:color="C9D8E6"/>
          <w:insideH w:val="single" w:sz="6" w:color="C9D8E6"/>
          <w:insideV w:val="single" w:sz="6" w:color="C9D8E6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4E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C28A2E"/>
                <w:sz w:val="22"/>
              </w:rPr>
              <w:t xml:space="preserve">Контроль качества. </w:t>
            </w:r>
            <w:r>
              <w:rPr>
                <w:rFonts w:ascii="Calibri" w:hAnsi="Calibri"/>
                <w:b w:val="0"/>
                <w:i w:val="0"/>
                <w:sz w:val="22"/>
              </w:rPr>
              <w:t>Если baseline не измерен, ROI будет предположением. Сначала проведите экспресс-аудит или инструментальное измерение.</w:t>
            </w:r>
          </w:p>
        </w:tc>
      </w:tr>
    </w:tbl>
    <w:p>
      <w:pPr>
        <w:spacing w:after="40"/>
        <w:widowControl w:val="1"/>
      </w:pPr>
    </w:p>
    <w:p>
      <w:pPr>
        <w:widowControl w:val="1"/>
      </w:pPr>
      <w:r>
        <w:br w:type="page"/>
      </w:r>
    </w:p>
    <w:p>
      <w:pPr>
        <w:pStyle w:val="Heading1"/>
        <w:widowControl w:val="1"/>
      </w:pPr>
      <w:r>
        <w:t>4. Экономическое обоснование</w:t>
      </w:r>
    </w:p>
    <w:p>
      <w:pPr>
        <w:pStyle w:val="Heading2"/>
        <w:widowControl w:val="1"/>
      </w:pPr>
      <w:r>
        <w:t>4.1. Полная стоимость владения</w:t>
      </w:r>
    </w:p>
    <w:p>
      <w:pPr>
        <w:spacing w:before="0"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TCO = разработка + интеграции + инфраструктура + лицензии/API + данные + безопасность + обучение + сопровождение + изменения + резерв.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4300"/>
        <w:gridCol w:w="1800"/>
        <w:gridCol w:w="3260"/>
      </w:tblGrid>
      <w:tr>
        <w:trPr>
          <w:tblHeader w:val="true"/>
        </w:trPr>
        <w:tc>
          <w:tcPr>
            <w:tcW w:type="dxa" w:w="43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Статья затрат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Разово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Периодически</w:t>
            </w:r>
          </w:p>
        </w:tc>
      </w:tr>
      <w:tr>
        <w:tc>
          <w:tcPr>
            <w:tcW w:type="dxa" w:w="4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Discovery и проектирование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Да</w:t>
            </w:r>
          </w:p>
        </w:tc>
        <w:tc>
          <w:tcPr>
            <w:tcW w:type="dxa" w:w="32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Нет</w:t>
            </w:r>
          </w:p>
        </w:tc>
      </w:tr>
      <w:tr>
        <w:tc>
          <w:tcPr>
            <w:tcW w:type="dxa" w:w="4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Разработка и тестирование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Да</w:t>
            </w:r>
          </w:p>
        </w:tc>
        <w:tc>
          <w:tcPr>
            <w:tcW w:type="dxa" w:w="32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При доработках</w:t>
            </w:r>
          </w:p>
        </w:tc>
      </w:tr>
      <w:tr>
        <w:tc>
          <w:tcPr>
            <w:tcW w:type="dxa" w:w="4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Интеграции и миграция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Да</w:t>
            </w:r>
          </w:p>
        </w:tc>
        <w:tc>
          <w:tcPr>
            <w:tcW w:type="dxa" w:w="32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Поддержка</w:t>
            </w:r>
          </w:p>
        </w:tc>
      </w:tr>
      <w:tr>
        <w:tc>
          <w:tcPr>
            <w:tcW w:type="dxa" w:w="4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API, облако, модели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Возможно</w:t>
            </w:r>
          </w:p>
        </w:tc>
        <w:tc>
          <w:tcPr>
            <w:tcW w:type="dxa" w:w="32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Да</w:t>
            </w:r>
          </w:p>
        </w:tc>
      </w:tr>
      <w:tr>
        <w:tc>
          <w:tcPr>
            <w:tcW w:type="dxa" w:w="4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Мониторинг и безопасность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Настройка</w:t>
            </w:r>
          </w:p>
        </w:tc>
        <w:tc>
          <w:tcPr>
            <w:tcW w:type="dxa" w:w="32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Да</w:t>
            </w:r>
          </w:p>
        </w:tc>
      </w:tr>
      <w:tr>
        <w:tc>
          <w:tcPr>
            <w:tcW w:type="dxa" w:w="4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Обучение и изменение процесса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Первично</w:t>
            </w:r>
          </w:p>
        </w:tc>
        <w:tc>
          <w:tcPr>
            <w:tcW w:type="dxa" w:w="32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Повторно</w:t>
            </w:r>
          </w:p>
        </w:tc>
      </w:tr>
      <w:tr>
        <w:tc>
          <w:tcPr>
            <w:tcW w:type="dxa" w:w="4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Эксплуатация и SLA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Нет</w:t>
            </w:r>
          </w:p>
        </w:tc>
        <w:tc>
          <w:tcPr>
            <w:tcW w:type="dxa" w:w="32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Да</w:t>
            </w:r>
          </w:p>
        </w:tc>
      </w:tr>
      <w:tr>
        <w:tc>
          <w:tcPr>
            <w:tcW w:type="dxa" w:w="4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Резерв риска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Да</w:t>
            </w:r>
          </w:p>
        </w:tc>
        <w:tc>
          <w:tcPr>
            <w:tcW w:type="dxa" w:w="32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По модели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4.2. Базовые показатели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1700"/>
        <w:gridCol w:w="4100"/>
        <w:gridCol w:w="3560"/>
      </w:tblGrid>
      <w:tr>
        <w:trPr>
          <w:tblHeader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Показатель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Формула</w:t>
            </w:r>
          </w:p>
        </w:tc>
        <w:tc>
          <w:tcPr>
            <w:tcW w:type="dxa" w:w="35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Назначение</w:t>
            </w:r>
          </w:p>
        </w:tc>
      </w:tr>
      <w:tr>
        <w:tc>
          <w:tcPr>
            <w:tcW w:type="dxa" w:w="1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Payback</w:t>
            </w:r>
          </w:p>
        </w:tc>
        <w:tc>
          <w:tcPr>
            <w:tcW w:type="dxa" w:w="41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Начальные вложения / ежемесячный чистый эффект</w:t>
            </w:r>
          </w:p>
        </w:tc>
        <w:tc>
          <w:tcPr>
            <w:tcW w:type="dxa" w:w="35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Когда вернутся вложения.</w:t>
            </w:r>
          </w:p>
        </w:tc>
      </w:tr>
      <w:tr>
        <w:tc>
          <w:tcPr>
            <w:tcW w:type="dxa" w:w="1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ROI</w:t>
            </w:r>
          </w:p>
        </w:tc>
        <w:tc>
          <w:tcPr>
            <w:tcW w:type="dxa" w:w="41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(Выгоды − затраты) / затраты × 100%</w:t>
            </w:r>
          </w:p>
        </w:tc>
        <w:tc>
          <w:tcPr>
            <w:tcW w:type="dxa" w:w="35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Относительная доходность.</w:t>
            </w:r>
          </w:p>
        </w:tc>
      </w:tr>
      <w:tr>
        <w:tc>
          <w:tcPr>
            <w:tcW w:type="dxa" w:w="1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TCO</w:t>
            </w:r>
          </w:p>
        </w:tc>
        <w:tc>
          <w:tcPr>
            <w:tcW w:type="dxa" w:w="41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Сумма всех затрат за период</w:t>
            </w:r>
          </w:p>
        </w:tc>
        <w:tc>
          <w:tcPr>
            <w:tcW w:type="dxa" w:w="35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Реальная стоимость владения.</w:t>
            </w:r>
          </w:p>
        </w:tc>
      </w:tr>
      <w:tr>
        <w:tc>
          <w:tcPr>
            <w:tcW w:type="dxa" w:w="1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NPV</w:t>
            </w:r>
          </w:p>
        </w:tc>
        <w:tc>
          <w:tcPr>
            <w:tcW w:type="dxa" w:w="41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Σ CFₜ/(1+r)ᵗ − I₀</w:t>
            </w:r>
          </w:p>
        </w:tc>
        <w:tc>
          <w:tcPr>
            <w:tcW w:type="dxa" w:w="35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Ценность с учётом времени и ставки.</w:t>
            </w:r>
          </w:p>
        </w:tc>
      </w:tr>
      <w:tr>
        <w:tc>
          <w:tcPr>
            <w:tcW w:type="dxa" w:w="1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Benefit-cost ratio</w:t>
            </w:r>
          </w:p>
        </w:tc>
        <w:tc>
          <w:tcPr>
            <w:tcW w:type="dxa" w:w="41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PV выгод / PV затрат</w:t>
            </w:r>
          </w:p>
        </w:tc>
        <w:tc>
          <w:tcPr>
            <w:tcW w:type="dxa" w:w="35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Сравнение вариантов.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4.3. Исправление примера из исходных материалов</w:t>
      </w:r>
    </w:p>
    <w:p>
      <w:pPr>
        <w:spacing w:before="0"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Указаны: разработка 230 тыс. руб.; поддержка 50 тыс. руб./мес.; годовая экономия 4,2 млн руб. Тогда годовой TCO = 230 + 50 × 12 = 830 тыс. руб.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8E6"/>
          <w:left w:val="single" w:sz="6" w:color="C9D8E6"/>
          <w:bottom w:val="single" w:sz="6" w:color="C9D8E6"/>
          <w:right w:val="single" w:sz="6" w:color="C9D8E6"/>
          <w:insideH w:val="single" w:sz="6" w:color="C9D8E6"/>
          <w:insideV w:val="single" w:sz="6" w:color="C9D8E6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DECEC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A61B1B"/>
                <w:sz w:val="22"/>
              </w:rPr>
              <w:t xml:space="preserve">Корректный расчёт. </w:t>
            </w:r>
            <w:r>
              <w:rPr>
                <w:rFonts w:ascii="Calibri" w:hAnsi="Calibri"/>
                <w:b w:val="0"/>
                <w:i w:val="0"/>
                <w:sz w:val="22"/>
              </w:rPr>
              <w:t>ROI = (4 200 − 830) / 830 × 100% ≈ 406%. Показатель 1726% получается, если ошибочно взять в знаменатель только 230 тыс. руб. и исключить поддержку. Сравнивать эти результаты нельзя.</w:t>
            </w:r>
          </w:p>
        </w:tc>
      </w:tr>
    </w:tbl>
    <w:p>
      <w:pPr>
        <w:spacing w:after="40"/>
        <w:widowControl w:val="1"/>
      </w:pPr>
    </w:p>
    <w:p>
      <w:pPr>
        <w:spacing w:before="0"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Если использовать другую годовую экономию — 3,6 млн руб., как на другом слайде, ROI = (3 600 − 830) / 830 × 100% ≈ 334%. Этот расчёт согласован с указанной базой затрат.</w:t>
      </w:r>
    </w:p>
    <w:p>
      <w:pPr>
        <w:pStyle w:val="Heading2"/>
        <w:widowControl w:val="1"/>
      </w:pPr>
      <w:r>
        <w:t>4.4. Сценарный анализ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1900"/>
        <w:gridCol w:w="1600"/>
        <w:gridCol w:w="2100"/>
        <w:gridCol w:w="3760"/>
      </w:tblGrid>
      <w:tr>
        <w:trPr>
          <w:tblHeader w:val="true"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Сценарий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Автоматизация</w:t>
            </w:r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Эффект</w:t>
            </w:r>
          </w:p>
        </w:tc>
        <w:tc>
          <w:tcPr>
            <w:tcW w:type="dxa" w:w="37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Что проверить</w:t>
            </w:r>
          </w:p>
        </w:tc>
      </w:tr>
      <w:tr>
        <w:tc>
          <w:tcPr>
            <w:tcW w:type="dxa" w:w="19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Консервативный</w:t>
            </w:r>
          </w:p>
        </w:tc>
        <w:tc>
          <w:tcPr>
            <w:tcW w:type="dxa" w:w="16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40%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Нижняя граница</w:t>
            </w:r>
          </w:p>
        </w:tc>
        <w:tc>
          <w:tcPr>
            <w:tcW w:type="dxa" w:w="37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Качество данных, эскалации.</w:t>
            </w:r>
          </w:p>
        </w:tc>
      </w:tr>
      <w:tr>
        <w:tc>
          <w:tcPr>
            <w:tcW w:type="dxa" w:w="19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Базовый</w:t>
            </w:r>
          </w:p>
        </w:tc>
        <w:tc>
          <w:tcPr>
            <w:tcW w:type="dxa" w:w="16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60%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Плановый эффект</w:t>
            </w:r>
          </w:p>
        </w:tc>
        <w:tc>
          <w:tcPr>
            <w:tcW w:type="dxa" w:w="37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Нагрузка и стабильность.</w:t>
            </w:r>
          </w:p>
        </w:tc>
      </w:tr>
      <w:tr>
        <w:tc>
          <w:tcPr>
            <w:tcW w:type="dxa" w:w="19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Оптимистичный</w:t>
            </w:r>
          </w:p>
        </w:tc>
        <w:tc>
          <w:tcPr>
            <w:tcW w:type="dxa" w:w="16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70%+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Верхняя граница</w:t>
            </w:r>
          </w:p>
        </w:tc>
        <w:tc>
          <w:tcPr>
            <w:tcW w:type="dxa" w:w="37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Риск завышения ожиданий.</w:t>
            </w:r>
          </w:p>
        </w:tc>
      </w:tr>
    </w:tbl>
    <w:p>
      <w:pPr>
        <w:spacing w:after="40"/>
        <w:widowControl w:val="1"/>
      </w:pP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8E6"/>
          <w:left w:val="single" w:sz="6" w:color="C9D8E6"/>
          <w:bottom w:val="single" w:sz="6" w:color="C9D8E6"/>
          <w:right w:val="single" w:sz="6" w:color="C9D8E6"/>
          <w:insideH w:val="single" w:sz="6" w:color="C9D8E6"/>
          <w:insideV w:val="single" w:sz="6" w:color="C9D8E6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8FB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 xml:space="preserve">Правило. </w:t>
            </w:r>
            <w:r>
              <w:rPr>
                <w:rFonts w:ascii="Calibri" w:hAnsi="Calibri"/>
                <w:b w:val="0"/>
                <w:i w:val="0"/>
                <w:sz w:val="22"/>
              </w:rPr>
              <w:t>В коммерческом предложении показывайте консервативный, базовый и стресс-сценарий. Все допущения должны быть видимы и проверяемы.</w:t>
            </w:r>
          </w:p>
        </w:tc>
      </w:tr>
    </w:tbl>
    <w:p>
      <w:pPr>
        <w:spacing w:after="40"/>
        <w:widowControl w:val="1"/>
      </w:pPr>
    </w:p>
    <w:p>
      <w:pPr>
        <w:widowControl w:val="1"/>
      </w:pPr>
      <w:r>
        <w:br w:type="page"/>
      </w:r>
    </w:p>
    <w:p>
      <w:pPr>
        <w:pStyle w:val="Heading1"/>
        <w:widowControl w:val="1"/>
      </w:pPr>
      <w:r>
        <w:t>5. Проектирование доказательного пилота</w:t>
      </w:r>
    </w:p>
    <w:p>
      <w:pPr>
        <w:pStyle w:val="Heading2"/>
        <w:widowControl w:val="1"/>
      </w:pPr>
      <w:r>
        <w:t>5.1. SMART-гипотеза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8E6"/>
          <w:left w:val="single" w:sz="6" w:color="C9D8E6"/>
          <w:bottom w:val="single" w:sz="6" w:color="C9D8E6"/>
          <w:right w:val="single" w:sz="6" w:color="C9D8E6"/>
          <w:insideH w:val="single" w:sz="6" w:color="C9D8E6"/>
          <w:insideV w:val="single" w:sz="6" w:color="C9D8E6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8FB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 xml:space="preserve">Пример. </w:t>
            </w:r>
            <w:r>
              <w:rPr>
                <w:rFonts w:ascii="Calibri" w:hAnsi="Calibri"/>
                <w:b w:val="0"/>
                <w:i w:val="0"/>
                <w:sz w:val="22"/>
              </w:rPr>
              <w:t>За 4 недели AI-ассистент увеличит долю корректно обработанных типовых обращений без участия оператора с 0% до не менее 55%, при доле критических недостоверных ответов не выше 1% и медианной задержке до 5 секунд.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5.2. Метрики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1800"/>
        <w:gridCol w:w="3300"/>
        <w:gridCol w:w="4260"/>
      </w:tblGrid>
      <w:tr>
        <w:trPr>
          <w:tblHeader w:val="true"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Тип</w:t>
            </w:r>
          </w:p>
        </w:tc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Примеры</w:t>
            </w:r>
          </w:p>
        </w:tc>
        <w:tc>
          <w:tcPr>
            <w:tcW w:type="dxa" w:w="42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Роль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Primary</w:t>
            </w:r>
          </w:p>
        </w:tc>
        <w:tc>
          <w:tcPr>
            <w:tcW w:type="dxa" w:w="3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Полнота, точность, доля автоматизации, конверсия</w:t>
            </w:r>
          </w:p>
        </w:tc>
        <w:tc>
          <w:tcPr>
            <w:tcW w:type="dxa" w:w="42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Подтверждает основную гипотезу.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Guard</w:t>
            </w:r>
          </w:p>
        </w:tc>
        <w:tc>
          <w:tcPr>
            <w:tcW w:type="dxa" w:w="3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Галлюцинации, утечки, ошибки действий, жалобы</w:t>
            </w:r>
          </w:p>
        </w:tc>
        <w:tc>
          <w:tcPr>
            <w:tcW w:type="dxa" w:w="42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Не позволяет улучшать результат ценой безопасности.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Операционные</w:t>
            </w:r>
          </w:p>
        </w:tc>
        <w:tc>
          <w:tcPr>
            <w:tcW w:type="dxa" w:w="3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Latency, uptime, стоимость запроса, эскалации</w:t>
            </w:r>
          </w:p>
        </w:tc>
        <w:tc>
          <w:tcPr>
            <w:tcW w:type="dxa" w:w="42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Показывает пригодность к эксплуатации.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Бизнес</w:t>
            </w:r>
          </w:p>
        </w:tc>
        <w:tc>
          <w:tcPr>
            <w:tcW w:type="dxa" w:w="3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Экономия, выручка, CSAT, время цикла</w:t>
            </w:r>
          </w:p>
        </w:tc>
        <w:tc>
          <w:tcPr>
            <w:tcW w:type="dxa" w:w="42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Связывает пилот с ценностью.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5.3. Дизайн пилота</w:t>
      </w:r>
    </w:p>
    <w:p>
      <w:pPr>
        <w:pStyle w:val="ListNumber"/>
        <w:numPr>
          <w:ilvl w:val="0"/>
          <w:numId w:val="12"/>
        </w:numPr>
        <w:spacing w:after="80" w:line="300" w:lineRule="auto"/>
        <w:widowControl w:val="1"/>
      </w:pPr>
      <w:r>
        <w:t>Зафиксировать baseline и источник данных.</w:t>
      </w:r>
    </w:p>
    <w:p>
      <w:pPr>
        <w:pStyle w:val="ListNumber"/>
        <w:numPr>
          <w:ilvl w:val="0"/>
          <w:numId w:val="12"/>
        </w:numPr>
        <w:spacing w:after="80" w:line="300" w:lineRule="auto"/>
        <w:widowControl w:val="1"/>
      </w:pPr>
      <w:r>
        <w:t>Определить выборку, сегменты и сложные случаи.</w:t>
      </w:r>
    </w:p>
    <w:p>
      <w:pPr>
        <w:pStyle w:val="ListNumber"/>
        <w:numPr>
          <w:ilvl w:val="0"/>
          <w:numId w:val="12"/>
        </w:numPr>
        <w:spacing w:after="80" w:line="300" w:lineRule="auto"/>
        <w:widowControl w:val="1"/>
      </w:pPr>
      <w:r>
        <w:t>Создать набор тестов и критерии слепой оценки.</w:t>
      </w:r>
    </w:p>
    <w:p>
      <w:pPr>
        <w:pStyle w:val="ListNumber"/>
        <w:numPr>
          <w:ilvl w:val="0"/>
          <w:numId w:val="12"/>
        </w:numPr>
        <w:spacing w:after="80" w:line="300" w:lineRule="auto"/>
        <w:widowControl w:val="1"/>
      </w:pPr>
      <w:r>
        <w:t>Ограничить автономные действия и права доступа.</w:t>
      </w:r>
    </w:p>
    <w:p>
      <w:pPr>
        <w:pStyle w:val="ListNumber"/>
        <w:numPr>
          <w:ilvl w:val="0"/>
          <w:numId w:val="12"/>
        </w:numPr>
        <w:spacing w:after="80" w:line="300" w:lineRule="auto"/>
        <w:widowControl w:val="1"/>
      </w:pPr>
      <w:r>
        <w:t>Определить условия передачи оператору.</w:t>
      </w:r>
    </w:p>
    <w:p>
      <w:pPr>
        <w:pStyle w:val="ListNumber"/>
        <w:numPr>
          <w:ilvl w:val="0"/>
          <w:numId w:val="12"/>
        </w:numPr>
        <w:spacing w:after="80" w:line="300" w:lineRule="auto"/>
        <w:widowControl w:val="1"/>
      </w:pPr>
      <w:r>
        <w:t>Собирать логи, стоимость, ошибки и обратную связь.</w:t>
      </w:r>
    </w:p>
    <w:p>
      <w:pPr>
        <w:pStyle w:val="ListNumber"/>
        <w:numPr>
          <w:ilvl w:val="0"/>
          <w:numId w:val="12"/>
        </w:numPr>
        <w:spacing w:after="80" w:line="300" w:lineRule="auto"/>
        <w:widowControl w:val="1"/>
      </w:pPr>
      <w:r>
        <w:t>Сравнить результат с baseline или контрольной группой.</w:t>
      </w:r>
    </w:p>
    <w:p>
      <w:pPr>
        <w:pStyle w:val="ListNumber"/>
        <w:numPr>
          <w:ilvl w:val="0"/>
          <w:numId w:val="12"/>
        </w:numPr>
        <w:spacing w:after="80" w:line="300" w:lineRule="auto"/>
        <w:widowControl w:val="1"/>
      </w:pPr>
      <w:r>
        <w:t>Оформить решение: масштабировать, доработать или остановить.</w:t>
      </w:r>
    </w:p>
    <w:p>
      <w:pPr>
        <w:pStyle w:val="Heading2"/>
        <w:widowControl w:val="1"/>
      </w:pPr>
      <w:r>
        <w:t>5.4. Критерии остановки</w:t>
      </w:r>
    </w:p>
    <w:p>
      <w:pPr>
        <w:pStyle w:val="ListBullet"/>
        <w:spacing w:after="80" w:line="300" w:lineRule="auto"/>
        <w:widowControl w:val="1"/>
      </w:pPr>
      <w:r>
        <w:t>критическая утечка или нарушение доступа;</w:t>
      </w:r>
    </w:p>
    <w:p>
      <w:pPr>
        <w:pStyle w:val="ListBullet"/>
        <w:spacing w:after="80" w:line="300" w:lineRule="auto"/>
        <w:widowControl w:val="1"/>
      </w:pPr>
      <w:r>
        <w:t>опасное действие без разрешённого подтверждения;</w:t>
      </w:r>
    </w:p>
    <w:p>
      <w:pPr>
        <w:pStyle w:val="ListBullet"/>
        <w:spacing w:after="80" w:line="300" w:lineRule="auto"/>
        <w:widowControl w:val="1"/>
      </w:pPr>
      <w:r>
        <w:t>превышение guard-метрики;</w:t>
      </w:r>
    </w:p>
    <w:p>
      <w:pPr>
        <w:pStyle w:val="ListBullet"/>
        <w:spacing w:after="80" w:line="300" w:lineRule="auto"/>
        <w:widowControl w:val="1"/>
      </w:pPr>
      <w:r>
        <w:t>невозможность воспроизвести результат;</w:t>
      </w:r>
    </w:p>
    <w:p>
      <w:pPr>
        <w:pStyle w:val="ListBullet"/>
        <w:spacing w:after="80" w:line="300" w:lineRule="auto"/>
        <w:widowControl w:val="1"/>
      </w:pPr>
      <w:r>
        <w:t>стоимость эксплуатации выше согласованной границы;</w:t>
      </w:r>
    </w:p>
    <w:p>
      <w:pPr>
        <w:pStyle w:val="ListBullet"/>
        <w:spacing w:after="80" w:line="300" w:lineRule="auto"/>
        <w:widowControl w:val="1"/>
      </w:pPr>
      <w:r>
        <w:t>отсутствие владельца процесса или данных.</w:t>
      </w:r>
    </w:p>
    <w:p>
      <w:pPr>
        <w:pStyle w:val="Heading1"/>
        <w:widowControl w:val="1"/>
      </w:pPr>
      <w:r>
        <w:t>6. Архитектура доверия и безопасность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Контроль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Минимальное требование</w:t>
            </w:r>
          </w:p>
        </w:tc>
      </w:tr>
      <w:tr>
        <w:tc>
          <w:tcPr>
            <w:tcW w:type="dxa" w:w="25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Данные</w:t>
            </w:r>
          </w:p>
        </w:tc>
        <w:tc>
          <w:tcPr>
            <w:tcW w:type="dxa" w:w="68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Классификация, минимизация, правовое основание, сроки хранения.</w:t>
            </w:r>
          </w:p>
        </w:tc>
      </w:tr>
      <w:tr>
        <w:tc>
          <w:tcPr>
            <w:tcW w:type="dxa" w:w="25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Доступ</w:t>
            </w:r>
          </w:p>
        </w:tc>
        <w:tc>
          <w:tcPr>
            <w:tcW w:type="dxa" w:w="68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Наименьшие привилегии, разделение ролей, аудит действий.</w:t>
            </w:r>
          </w:p>
        </w:tc>
      </w:tr>
      <w:tr>
        <w:tc>
          <w:tcPr>
            <w:tcW w:type="dxa" w:w="25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Ответы</w:t>
            </w:r>
          </w:p>
        </w:tc>
        <w:tc>
          <w:tcPr>
            <w:tcW w:type="dxa" w:w="68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Ссылки на источники, проверка фактов, границы компетенции.</w:t>
            </w:r>
          </w:p>
        </w:tc>
      </w:tr>
      <w:tr>
        <w:tc>
          <w:tcPr>
            <w:tcW w:type="dxa" w:w="25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Эскалация</w:t>
            </w:r>
          </w:p>
        </w:tc>
        <w:tc>
          <w:tcPr>
            <w:tcW w:type="dxa" w:w="68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Ясные триггеры передачи человеку и SLA.</w:t>
            </w:r>
          </w:p>
        </w:tc>
      </w:tr>
      <w:tr>
        <w:tc>
          <w:tcPr>
            <w:tcW w:type="dxa" w:w="25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Логи</w:t>
            </w:r>
          </w:p>
        </w:tc>
        <w:tc>
          <w:tcPr>
            <w:tcW w:type="dxa" w:w="68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Вход, версия промпта/модели, результат, решение, стоимость.</w:t>
            </w:r>
          </w:p>
        </w:tc>
      </w:tr>
      <w:tr>
        <w:tc>
          <w:tcPr>
            <w:tcW w:type="dxa" w:w="25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Изменения</w:t>
            </w:r>
          </w:p>
        </w:tc>
        <w:tc>
          <w:tcPr>
            <w:tcW w:type="dxa" w:w="68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Версионирование, тесты перед выпуском, возможность отката.</w:t>
            </w:r>
          </w:p>
        </w:tc>
      </w:tr>
      <w:tr>
        <w:tc>
          <w:tcPr>
            <w:tcW w:type="dxa" w:w="25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Поставщики</w:t>
            </w:r>
          </w:p>
        </w:tc>
        <w:tc>
          <w:tcPr>
            <w:tcW w:type="dxa" w:w="68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Условия обработки данных, регион хранения, субподрядчики.</w:t>
            </w:r>
          </w:p>
        </w:tc>
      </w:tr>
      <w:tr>
        <w:tc>
          <w:tcPr>
            <w:tcW w:type="dxa" w:w="25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Инциденты</w:t>
            </w:r>
          </w:p>
        </w:tc>
        <w:tc>
          <w:tcPr>
            <w:tcW w:type="dxa" w:w="68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Канал сообщения, владелец, сроки реакции и восстановление.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6.1. Четыре функции NIST AI RMF</w:t>
      </w:r>
    </w:p>
    <w:p>
      <w:pPr>
        <w:pStyle w:val="ListBullet"/>
        <w:spacing w:after="80" w:line="300" w:lineRule="auto"/>
        <w:widowControl w:val="1"/>
      </w:pPr>
      <w:r>
        <w:t>Govern — роли, политика, ответственность и допустимый риск;</w:t>
      </w:r>
    </w:p>
    <w:p>
      <w:pPr>
        <w:pStyle w:val="ListBullet"/>
        <w:spacing w:after="80" w:line="300" w:lineRule="auto"/>
        <w:widowControl w:val="1"/>
      </w:pPr>
      <w:r>
        <w:t>Map — контекст, пользователи, воздействия и ограничения;</w:t>
      </w:r>
    </w:p>
    <w:p>
      <w:pPr>
        <w:pStyle w:val="ListBullet"/>
        <w:spacing w:after="80" w:line="300" w:lineRule="auto"/>
        <w:widowControl w:val="1"/>
      </w:pPr>
      <w:r>
        <w:t>Measure — измерение качества, безопасности и надёжности;</w:t>
      </w:r>
    </w:p>
    <w:p>
      <w:pPr>
        <w:pStyle w:val="ListBullet"/>
        <w:spacing w:after="80" w:line="300" w:lineRule="auto"/>
        <w:widowControl w:val="1"/>
      </w:pPr>
      <w:r>
        <w:t>Manage — приоритизация и обработка выявленных рисков.</w:t>
      </w:r>
    </w:p>
    <w:p>
      <w:pPr>
        <w:spacing w:before="20" w:after="80"/>
        <w:widowControl w:val="1"/>
      </w:pPr>
      <w:r>
        <w:rPr>
          <w:rFonts w:ascii="Calibri" w:hAnsi="Calibri"/>
          <w:b/>
          <w:i w:val="0"/>
          <w:color w:val="666666"/>
          <w:sz w:val="18"/>
        </w:rPr>
        <w:t xml:space="preserve">Источник: </w:t>
      </w:r>
      <w:hyperlink r:id="rId11">
        <w:r>
          <w:rPr>
            <w:color w:val="2E74B5"/>
            <w:u w:val="single"/>
          </w:rPr>
          <w:t>NIST AI RMF 1.0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8E6"/>
          <w:left w:val="single" w:sz="6" w:color="C9D8E6"/>
          <w:bottom w:val="single" w:sz="6" w:color="C9D8E6"/>
          <w:right w:val="single" w:sz="6" w:color="C9D8E6"/>
          <w:insideH w:val="single" w:sz="6" w:color="C9D8E6"/>
          <w:insideV w:val="single" w:sz="6" w:color="C9D8E6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4E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C28A2E"/>
                <w:sz w:val="22"/>
              </w:rPr>
              <w:t xml:space="preserve">Важно. </w:t>
            </w:r>
            <w:r>
              <w:rPr>
                <w:rFonts w:ascii="Calibri" w:hAnsi="Calibri"/>
                <w:b w:val="0"/>
                <w:i w:val="0"/>
                <w:sz w:val="22"/>
              </w:rPr>
              <w:t>NIST AI RMF — добровольная рамка, а не замена применимому законодательству, договору, отраслевым требованиям или юридической экспертизе.</w:t>
            </w:r>
          </w:p>
        </w:tc>
      </w:tr>
    </w:tbl>
    <w:p>
      <w:pPr>
        <w:spacing w:after="40"/>
        <w:widowControl w:val="1"/>
      </w:pPr>
    </w:p>
    <w:p>
      <w:pPr>
        <w:widowControl w:val="1"/>
      </w:pPr>
      <w:r>
        <w:br w:type="page"/>
      </w:r>
    </w:p>
    <w:p>
      <w:pPr>
        <w:pStyle w:val="Heading1"/>
        <w:widowControl w:val="1"/>
      </w:pPr>
      <w:r>
        <w:t>7. Работа со стейкхолдерами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1700"/>
        <w:gridCol w:w="3300"/>
        <w:gridCol w:w="4360"/>
      </w:tblGrid>
      <w:tr>
        <w:trPr>
          <w:tblHeader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Роль</w:t>
            </w:r>
          </w:p>
        </w:tc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Что важно</w:t>
            </w:r>
          </w:p>
        </w:tc>
        <w:tc>
          <w:tcPr>
            <w:tcW w:type="dxa" w:w="43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Доказательство</w:t>
            </w:r>
          </w:p>
        </w:tc>
      </w:tr>
      <w:tr>
        <w:tc>
          <w:tcPr>
            <w:tcW w:type="dxa" w:w="1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ЛПР / спонсор</w:t>
            </w:r>
          </w:p>
        </w:tc>
        <w:tc>
          <w:tcPr>
            <w:tcW w:type="dxa" w:w="3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ROI, срок, риск, конкурентное преимущество</w:t>
            </w:r>
          </w:p>
        </w:tc>
        <w:tc>
          <w:tcPr>
            <w:tcW w:type="dxa" w:w="43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Business case и сценарии.</w:t>
            </w:r>
          </w:p>
        </w:tc>
      </w:tr>
      <w:tr>
        <w:tc>
          <w:tcPr>
            <w:tcW w:type="dxa" w:w="1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Владелец процесса</w:t>
            </w:r>
          </w:p>
        </w:tc>
        <w:tc>
          <w:tcPr>
            <w:tcW w:type="dxa" w:w="3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Качество, нагрузка, управляемость</w:t>
            </w:r>
          </w:p>
        </w:tc>
        <w:tc>
          <w:tcPr>
            <w:tcW w:type="dxa" w:w="43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Пилот на реальных кейсах.</w:t>
            </w:r>
          </w:p>
        </w:tc>
      </w:tr>
      <w:tr>
        <w:tc>
          <w:tcPr>
            <w:tcW w:type="dxa" w:w="1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IT-директор</w:t>
            </w:r>
          </w:p>
        </w:tc>
        <w:tc>
          <w:tcPr>
            <w:tcW w:type="dxa" w:w="3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Архитектура, интеграции, масштабирование</w:t>
            </w:r>
          </w:p>
        </w:tc>
        <w:tc>
          <w:tcPr>
            <w:tcW w:type="dxa" w:w="43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Схема, API, нагрузочные тесты.</w:t>
            </w:r>
          </w:p>
        </w:tc>
      </w:tr>
      <w:tr>
        <w:tc>
          <w:tcPr>
            <w:tcW w:type="dxa" w:w="1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CFO / закупки</w:t>
            </w:r>
          </w:p>
        </w:tc>
        <w:tc>
          <w:tcPr>
            <w:tcW w:type="dxa" w:w="3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TCO, договор, предсказуемость</w:t>
            </w:r>
          </w:p>
        </w:tc>
        <w:tc>
          <w:tcPr>
            <w:tcW w:type="dxa" w:w="43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Модель затрат и этапная оплата.</w:t>
            </w:r>
          </w:p>
        </w:tc>
      </w:tr>
      <w:tr>
        <w:tc>
          <w:tcPr>
            <w:tcW w:type="dxa" w:w="1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ИБ / юрист</w:t>
            </w:r>
          </w:p>
        </w:tc>
        <w:tc>
          <w:tcPr>
            <w:tcW w:type="dxa" w:w="3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Данные, доступ, ответственность</w:t>
            </w:r>
          </w:p>
        </w:tc>
        <w:tc>
          <w:tcPr>
            <w:tcW w:type="dxa" w:w="43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DPIA/оценка риска, NDA, журналирование.</w:t>
            </w:r>
          </w:p>
        </w:tc>
      </w:tr>
      <w:tr>
        <w:tc>
          <w:tcPr>
            <w:tcW w:type="dxa" w:w="1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Пользователь</w:t>
            </w:r>
          </w:p>
        </w:tc>
        <w:tc>
          <w:tcPr>
            <w:tcW w:type="dxa" w:w="3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Полезность и простота</w:t>
            </w:r>
          </w:p>
        </w:tc>
        <w:tc>
          <w:tcPr>
            <w:tcW w:type="dxa" w:w="43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Тестирование, обучение, обратная связь.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7.1. Карта влияния</w:t>
      </w:r>
    </w:p>
    <w:p>
      <w:pPr>
        <w:spacing w:before="0"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Для каждого участника оцените власть, интерес, позицию, критерий успеха, риск и предпочитаемый формат коммуникации. Не ограничивайтесь формальной оргструктурой: найдите внутреннего «чемпиона», который заинтересован в результате и способен защищать проект без исполнителя.</w:t>
      </w:r>
    </w:p>
    <w:p>
      <w:pPr>
        <w:pStyle w:val="Heading2"/>
        <w:widowControl w:val="1"/>
      </w:pPr>
      <w:r>
        <w:t>7.2. Коммуникационный план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1800"/>
        <w:gridCol w:w="1800"/>
        <w:gridCol w:w="2900"/>
        <w:gridCol w:w="2860"/>
      </w:tblGrid>
      <w:tr>
        <w:trPr>
          <w:tblHeader w:val="true"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Кому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Когда</w:t>
            </w:r>
          </w:p>
        </w:tc>
        <w:tc>
          <w:tcPr>
            <w:tcW w:type="dxa" w:w="29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Формат</w:t>
            </w:r>
          </w:p>
        </w:tc>
        <w:tc>
          <w:tcPr>
            <w:tcW w:type="dxa" w:w="28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Результат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Спонсор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Еженедельно</w:t>
            </w:r>
          </w:p>
        </w:tc>
        <w:tc>
          <w:tcPr>
            <w:tcW w:type="dxa" w:w="29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1 страница: эффект, риск, решение</w:t>
            </w:r>
          </w:p>
        </w:tc>
        <w:tc>
          <w:tcPr>
            <w:tcW w:type="dxa" w:w="28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Подтверждённый приоритет.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Рабочая группа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2–3 раза в неделю</w:t>
            </w:r>
          </w:p>
        </w:tc>
        <w:tc>
          <w:tcPr>
            <w:tcW w:type="dxa" w:w="29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Короткий статус и блокеры</w:t>
            </w:r>
          </w:p>
        </w:tc>
        <w:tc>
          <w:tcPr>
            <w:tcW w:type="dxa" w:w="28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Следующие действия.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IT/ИБ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До пилота и перед запуском</w:t>
            </w:r>
          </w:p>
        </w:tc>
        <w:tc>
          <w:tcPr>
            <w:tcW w:type="dxa" w:w="29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Технический review</w:t>
            </w:r>
          </w:p>
        </w:tc>
        <w:tc>
          <w:tcPr>
            <w:tcW w:type="dxa" w:w="28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Разрешение и условия.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Пользователи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До и во время пилота</w:t>
            </w:r>
          </w:p>
        </w:tc>
        <w:tc>
          <w:tcPr>
            <w:tcW w:type="dxa" w:w="29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Демо, обучение, интервью</w:t>
            </w:r>
          </w:p>
        </w:tc>
        <w:tc>
          <w:tcPr>
            <w:tcW w:type="dxa" w:w="28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Принятие и обратная связь.</w:t>
            </w:r>
          </w:p>
        </w:tc>
      </w:tr>
    </w:tbl>
    <w:p>
      <w:pPr>
        <w:spacing w:after="40"/>
        <w:widowControl w:val="1"/>
      </w:pPr>
    </w:p>
    <w:p>
      <w:pPr>
        <w:pStyle w:val="Heading1"/>
        <w:widowControl w:val="1"/>
      </w:pPr>
      <w:r>
        <w:t>8. Презентация и демонстрация</w:t>
      </w:r>
    </w:p>
    <w:p>
      <w:pPr>
        <w:pStyle w:val="Heading2"/>
        <w:widowControl w:val="1"/>
      </w:pPr>
      <w:r>
        <w:t>8.1. Структура презентации на 7 слайдов</w:t>
      </w:r>
    </w:p>
    <w:p>
      <w:pPr>
        <w:pStyle w:val="ListNumber"/>
        <w:numPr>
          <w:ilvl w:val="0"/>
          <w:numId w:val="13"/>
        </w:numPr>
        <w:spacing w:after="80" w:line="300" w:lineRule="auto"/>
        <w:widowControl w:val="1"/>
      </w:pPr>
      <w:r>
        <w:t>Проблема и baseline: объём, время, стоимость, качество.</w:t>
      </w:r>
    </w:p>
    <w:p>
      <w:pPr>
        <w:pStyle w:val="ListNumber"/>
        <w:numPr>
          <w:ilvl w:val="0"/>
          <w:numId w:val="13"/>
        </w:numPr>
        <w:spacing w:after="80" w:line="300" w:lineRule="auto"/>
        <w:widowControl w:val="1"/>
      </w:pPr>
      <w:r>
        <w:t>Целевой процесс: что изменится для клиента и сотрудника.</w:t>
      </w:r>
    </w:p>
    <w:p>
      <w:pPr>
        <w:pStyle w:val="ListNumber"/>
        <w:numPr>
          <w:ilvl w:val="0"/>
          <w:numId w:val="13"/>
        </w:numPr>
        <w:spacing w:after="80" w:line="300" w:lineRule="auto"/>
        <w:widowControl w:val="1"/>
      </w:pPr>
      <w:r>
        <w:t>Решение: простая схема без лишнего технического жаргона.</w:t>
      </w:r>
    </w:p>
    <w:p>
      <w:pPr>
        <w:pStyle w:val="ListNumber"/>
        <w:numPr>
          <w:ilvl w:val="0"/>
          <w:numId w:val="13"/>
        </w:numPr>
        <w:spacing w:after="80" w:line="300" w:lineRule="auto"/>
        <w:widowControl w:val="1"/>
      </w:pPr>
      <w:r>
        <w:t>Демонстрация: типовой, сложный и пограничный сценарий.</w:t>
      </w:r>
    </w:p>
    <w:p>
      <w:pPr>
        <w:pStyle w:val="ListNumber"/>
        <w:numPr>
          <w:ilvl w:val="0"/>
          <w:numId w:val="13"/>
        </w:numPr>
        <w:spacing w:after="80" w:line="300" w:lineRule="auto"/>
        <w:widowControl w:val="1"/>
      </w:pPr>
      <w:r>
        <w:t>Экономика: TCO, эффект, сценарии, окупаемость.</w:t>
      </w:r>
    </w:p>
    <w:p>
      <w:pPr>
        <w:pStyle w:val="ListNumber"/>
        <w:numPr>
          <w:ilvl w:val="0"/>
          <w:numId w:val="13"/>
        </w:numPr>
        <w:spacing w:after="80" w:line="300" w:lineRule="auto"/>
        <w:widowControl w:val="1"/>
      </w:pPr>
      <w:r>
        <w:t>Пилот: сроки, метрики, guard-метрики, критерии остановки.</w:t>
      </w:r>
    </w:p>
    <w:p>
      <w:pPr>
        <w:pStyle w:val="ListNumber"/>
        <w:numPr>
          <w:ilvl w:val="0"/>
          <w:numId w:val="13"/>
        </w:numPr>
        <w:spacing w:after="80" w:line="300" w:lineRule="auto"/>
        <w:widowControl w:val="1"/>
      </w:pPr>
      <w:r>
        <w:t>Следующий шаг: решение, ответственный, дата, требуемые доступы.</w:t>
      </w:r>
    </w:p>
    <w:p>
      <w:pPr>
        <w:pStyle w:val="Heading2"/>
        <w:widowControl w:val="1"/>
      </w:pPr>
      <w:r>
        <w:t>8.2. Сценарий демонстрации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1000"/>
        <w:gridCol w:w="3900"/>
        <w:gridCol w:w="4460"/>
      </w:tblGrid>
      <w:tr>
        <w:trPr>
          <w:tblHeader w:val="true"/>
        </w:trPr>
        <w:tc>
          <w:tcPr>
            <w:tcW w:type="dxa" w:w="10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Шаг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Что показать</w:t>
            </w:r>
          </w:p>
        </w:tc>
        <w:tc>
          <w:tcPr>
            <w:tcW w:type="dxa" w:w="44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Что доказать</w:t>
            </w:r>
          </w:p>
        </w:tc>
      </w:tr>
      <w:tr>
        <w:tc>
          <w:tcPr>
            <w:tcW w:type="dxa" w:w="1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1</w:t>
            </w:r>
          </w:p>
        </w:tc>
        <w:tc>
          <w:tcPr>
            <w:tcW w:type="dxa" w:w="39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Нормальный запрос</w:t>
            </w:r>
          </w:p>
        </w:tc>
        <w:tc>
          <w:tcPr>
            <w:tcW w:type="dxa" w:w="44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Скорость и полезность.</w:t>
            </w:r>
          </w:p>
        </w:tc>
      </w:tr>
      <w:tr>
        <w:tc>
          <w:tcPr>
            <w:tcW w:type="dxa" w:w="1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2</w:t>
            </w:r>
          </w:p>
        </w:tc>
        <w:tc>
          <w:tcPr>
            <w:tcW w:type="dxa" w:w="39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Недостаток данных</w:t>
            </w:r>
          </w:p>
        </w:tc>
        <w:tc>
          <w:tcPr>
            <w:tcW w:type="dxa" w:w="44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Корректный уточняющий вопрос.</w:t>
            </w:r>
          </w:p>
        </w:tc>
      </w:tr>
      <w:tr>
        <w:tc>
          <w:tcPr>
            <w:tcW w:type="dxa" w:w="1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3</w:t>
            </w:r>
          </w:p>
        </w:tc>
        <w:tc>
          <w:tcPr>
            <w:tcW w:type="dxa" w:w="39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Запрос вне базы</w:t>
            </w:r>
          </w:p>
        </w:tc>
        <w:tc>
          <w:tcPr>
            <w:tcW w:type="dxa" w:w="44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Отказ или источник, без выдумывания.</w:t>
            </w:r>
          </w:p>
        </w:tc>
      </w:tr>
      <w:tr>
        <w:tc>
          <w:tcPr>
            <w:tcW w:type="dxa" w:w="1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4</w:t>
            </w:r>
          </w:p>
        </w:tc>
        <w:tc>
          <w:tcPr>
            <w:tcW w:type="dxa" w:w="39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Рискованный запрос</w:t>
            </w:r>
          </w:p>
        </w:tc>
        <w:tc>
          <w:tcPr>
            <w:tcW w:type="dxa" w:w="44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Передачу человеку.</w:t>
            </w:r>
          </w:p>
        </w:tc>
      </w:tr>
      <w:tr>
        <w:tc>
          <w:tcPr>
            <w:tcW w:type="dxa" w:w="1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5</w:t>
            </w:r>
          </w:p>
        </w:tc>
        <w:tc>
          <w:tcPr>
            <w:tcW w:type="dxa" w:w="39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Сбой интеграции</w:t>
            </w:r>
          </w:p>
        </w:tc>
        <w:tc>
          <w:tcPr>
            <w:tcW w:type="dxa" w:w="44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Повтор, очередь, уведомление, журнал.</w:t>
            </w:r>
          </w:p>
        </w:tc>
      </w:tr>
      <w:tr>
        <w:tc>
          <w:tcPr>
            <w:tcW w:type="dxa" w:w="1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6</w:t>
            </w:r>
          </w:p>
        </w:tc>
        <w:tc>
          <w:tcPr>
            <w:tcW w:type="dxa" w:w="39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Дашборд</w:t>
            </w:r>
          </w:p>
        </w:tc>
        <w:tc>
          <w:tcPr>
            <w:tcW w:type="dxa" w:w="44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Метрики, стоимость и трассируемость.</w:t>
            </w:r>
          </w:p>
        </w:tc>
      </w:tr>
    </w:tbl>
    <w:p>
      <w:pPr>
        <w:spacing w:after="40"/>
        <w:widowControl w:val="1"/>
      </w:pP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8E6"/>
          <w:left w:val="single" w:sz="6" w:color="C9D8E6"/>
          <w:bottom w:val="single" w:sz="6" w:color="C9D8E6"/>
          <w:right w:val="single" w:sz="6" w:color="C9D8E6"/>
          <w:insideH w:val="single" w:sz="6" w:color="C9D8E6"/>
          <w:insideV w:val="single" w:sz="6" w:color="C9D8E6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8FB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 xml:space="preserve">Ошибка презентации. </w:t>
            </w:r>
            <w:r>
              <w:rPr>
                <w:rFonts w:ascii="Calibri" w:hAnsi="Calibri"/>
                <w:b w:val="0"/>
                <w:i w:val="0"/>
                <w:sz w:val="22"/>
              </w:rPr>
              <w:t>Не обещайте «бот закроет 60% обращений», пока не определены выборка, критерий закрытия, сложность обращений и качество исходной базы.</w:t>
            </w:r>
          </w:p>
        </w:tc>
      </w:tr>
    </w:tbl>
    <w:p>
      <w:pPr>
        <w:spacing w:after="40"/>
        <w:widowControl w:val="1"/>
      </w:pPr>
    </w:p>
    <w:p>
      <w:pPr>
        <w:widowControl w:val="1"/>
      </w:pPr>
      <w:r>
        <w:br w:type="page"/>
      </w:r>
    </w:p>
    <w:p>
      <w:pPr>
        <w:pStyle w:val="Heading1"/>
        <w:widowControl w:val="1"/>
      </w:pPr>
      <w:r>
        <w:t>9. Возражения, коммерческое предложение и договор</w:t>
      </w:r>
    </w:p>
    <w:p>
      <w:pPr>
        <w:pStyle w:val="Heading2"/>
        <w:widowControl w:val="1"/>
      </w:pPr>
      <w:r>
        <w:t>9.1. Формула ответа на возражение</w:t>
      </w:r>
    </w:p>
    <w:p>
      <w:pPr>
        <w:pStyle w:val="ListNumber"/>
        <w:numPr>
          <w:ilvl w:val="0"/>
          <w:numId w:val="14"/>
        </w:numPr>
        <w:spacing w:after="80" w:line="300" w:lineRule="auto"/>
        <w:widowControl w:val="1"/>
      </w:pPr>
      <w:r>
        <w:t>Признать значимость вопроса.</w:t>
      </w:r>
    </w:p>
    <w:p>
      <w:pPr>
        <w:pStyle w:val="ListNumber"/>
        <w:numPr>
          <w:ilvl w:val="0"/>
          <w:numId w:val="14"/>
        </w:numPr>
        <w:spacing w:after="80" w:line="300" w:lineRule="auto"/>
        <w:widowControl w:val="1"/>
      </w:pPr>
      <w:r>
        <w:t>Уточнить, какой именно риск имеется в виду.</w:t>
      </w:r>
    </w:p>
    <w:p>
      <w:pPr>
        <w:pStyle w:val="ListNumber"/>
        <w:numPr>
          <w:ilvl w:val="0"/>
          <w:numId w:val="14"/>
        </w:numPr>
        <w:spacing w:after="80" w:line="300" w:lineRule="auto"/>
        <w:widowControl w:val="1"/>
      </w:pPr>
      <w:r>
        <w:t>Ответить проверяемыми фактами, ограничениями и данными.</w:t>
      </w:r>
    </w:p>
    <w:p>
      <w:pPr>
        <w:pStyle w:val="ListNumber"/>
        <w:numPr>
          <w:ilvl w:val="0"/>
          <w:numId w:val="14"/>
        </w:numPr>
        <w:spacing w:after="80" w:line="300" w:lineRule="auto"/>
        <w:widowControl w:val="1"/>
      </w:pPr>
      <w:r>
        <w:t>Предложить безопасное следующее действие.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Возражение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Ответ по существу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«AI ошибается»</w:t>
            </w:r>
          </w:p>
        </w:tc>
        <w:tc>
          <w:tcPr>
            <w:tcW w:type="dxa" w:w="66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Определяем типы ошибок, guard-метрику, тестовый набор и эскалацию.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«Слишком дорого»</w:t>
            </w:r>
          </w:p>
        </w:tc>
        <w:tc>
          <w:tcPr>
            <w:tcW w:type="dxa" w:w="66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Сравниваем полный TCO с альтернативой и уменьшаем scope, а не скрываем затраты.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«Данные небезопасны»</w:t>
            </w:r>
          </w:p>
        </w:tc>
        <w:tc>
          <w:tcPr>
            <w:tcW w:type="dxa" w:w="66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Показываем поток данных, доступы, хранение, договоры и журналирование.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«Мы уже пробовали»</w:t>
            </w:r>
          </w:p>
        </w:tc>
        <w:tc>
          <w:tcPr>
            <w:tcW w:type="dxa" w:w="66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Разбираем прошлую гипотезу, baseline, данные и причину остановки.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«Сотрудники будут против»</w:t>
            </w:r>
          </w:p>
        </w:tc>
        <w:tc>
          <w:tcPr>
            <w:tcW w:type="dxa" w:w="66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Вовлекаем пользователей, измеряем полезность, обучаем и меняем процесс.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«Нужны гарантии»</w:t>
            </w:r>
          </w:p>
        </w:tc>
        <w:tc>
          <w:tcPr>
            <w:tcW w:type="dxa" w:w="66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Фиксируем критерии приёмки, пилот, этапную оплату и условия прекращения.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9.2. Состав коммерческого предложения</w:t>
      </w:r>
    </w:p>
    <w:p>
      <w:pPr>
        <w:pStyle w:val="ListBullet"/>
        <w:spacing w:after="80" w:line="300" w:lineRule="auto"/>
        <w:widowControl w:val="1"/>
      </w:pPr>
      <w:r>
        <w:t>контекст и подтверждённая проблема;</w:t>
      </w:r>
    </w:p>
    <w:p>
      <w:pPr>
        <w:pStyle w:val="ListBullet"/>
        <w:spacing w:after="80" w:line="300" w:lineRule="auto"/>
        <w:widowControl w:val="1"/>
      </w:pPr>
      <w:r>
        <w:t>цели, границы и исключения;</w:t>
      </w:r>
    </w:p>
    <w:p>
      <w:pPr>
        <w:pStyle w:val="ListBullet"/>
        <w:spacing w:after="80" w:line="300" w:lineRule="auto"/>
        <w:widowControl w:val="1"/>
      </w:pPr>
      <w:r>
        <w:t>предлагаемый процесс и архитектура верхнего уровня;</w:t>
      </w:r>
    </w:p>
    <w:p>
      <w:pPr>
        <w:pStyle w:val="ListBullet"/>
        <w:spacing w:after="80" w:line="300" w:lineRule="auto"/>
        <w:widowControl w:val="1"/>
      </w:pPr>
      <w:r>
        <w:t>план пилота и измеримые критерии;</w:t>
      </w:r>
    </w:p>
    <w:p>
      <w:pPr>
        <w:pStyle w:val="ListBullet"/>
        <w:spacing w:after="80" w:line="300" w:lineRule="auto"/>
        <w:widowControl w:val="1"/>
      </w:pPr>
      <w:r>
        <w:t>стоимость, TCO, допущения и варианты;</w:t>
      </w:r>
    </w:p>
    <w:p>
      <w:pPr>
        <w:pStyle w:val="ListBullet"/>
        <w:spacing w:after="80" w:line="300" w:lineRule="auto"/>
        <w:widowControl w:val="1"/>
      </w:pPr>
      <w:r>
        <w:t>риски, безопасность и ответственность сторон;</w:t>
      </w:r>
    </w:p>
    <w:p>
      <w:pPr>
        <w:pStyle w:val="ListBullet"/>
        <w:spacing w:after="80" w:line="300" w:lineRule="auto"/>
        <w:widowControl w:val="1"/>
      </w:pPr>
      <w:r>
        <w:t>порядок изменений и приёмки;</w:t>
      </w:r>
    </w:p>
    <w:p>
      <w:pPr>
        <w:pStyle w:val="ListBullet"/>
        <w:spacing w:after="80" w:line="300" w:lineRule="auto"/>
        <w:widowControl w:val="1"/>
      </w:pPr>
      <w:r>
        <w:t>следующий шаг и срок действия предложения.</w:t>
      </w:r>
    </w:p>
    <w:p>
      <w:pPr>
        <w:pStyle w:val="Heading2"/>
        <w:widowControl w:val="1"/>
      </w:pPr>
      <w:r>
        <w:t>9.3. Этапная оплата</w:t>
      </w:r>
    </w:p>
    <w:p>
      <w:pPr>
        <w:spacing w:before="0"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Универсальной схемы нет. Для проекта средней неопределённости разумна модель 30% аванс — 40% после демонстрации MVP — 30% после приёмки пилота. Оплата должна быть привязана к проверяемым результатам, но не перекладывать на исполнителя риски, которые контролирует заказчик: качество данных, доступы, участие пользователей и сроки согласований.</w:t>
      </w:r>
    </w:p>
    <w:p>
      <w:pPr>
        <w:pStyle w:val="Heading2"/>
        <w:widowControl w:val="1"/>
      </w:pPr>
      <w:r>
        <w:t>9.4. Что закрепить в договоре и ТЗ</w:t>
      </w:r>
    </w:p>
    <w:p>
      <w:pPr>
        <w:pStyle w:val="ListBullet"/>
        <w:spacing w:after="80" w:line="300" w:lineRule="auto"/>
        <w:widowControl w:val="1"/>
      </w:pPr>
      <w:r>
        <w:t>предмет, границы и исключения;</w:t>
      </w:r>
    </w:p>
    <w:p>
      <w:pPr>
        <w:pStyle w:val="ListBullet"/>
        <w:spacing w:after="80" w:line="300" w:lineRule="auto"/>
        <w:widowControl w:val="1"/>
      </w:pPr>
      <w:r>
        <w:t>этапы, результаты и критерии приёмки;</w:t>
      </w:r>
    </w:p>
    <w:p>
      <w:pPr>
        <w:pStyle w:val="ListBullet"/>
        <w:spacing w:after="80" w:line="300" w:lineRule="auto"/>
        <w:widowControl w:val="1"/>
      </w:pPr>
      <w:r>
        <w:t>обязанности по данным и доступам;</w:t>
      </w:r>
    </w:p>
    <w:p>
      <w:pPr>
        <w:pStyle w:val="ListBullet"/>
        <w:spacing w:after="80" w:line="300" w:lineRule="auto"/>
        <w:widowControl w:val="1"/>
      </w:pPr>
      <w:r>
        <w:t>интеллектуальные права на код, промпты и материалы;</w:t>
      </w:r>
    </w:p>
    <w:p>
      <w:pPr>
        <w:pStyle w:val="ListBullet"/>
        <w:spacing w:after="80" w:line="300" w:lineRule="auto"/>
        <w:widowControl w:val="1"/>
      </w:pPr>
      <w:r>
        <w:t>конфиденциальность и обработка данных;</w:t>
      </w:r>
    </w:p>
    <w:p>
      <w:pPr>
        <w:pStyle w:val="ListBullet"/>
        <w:spacing w:after="80" w:line="300" w:lineRule="auto"/>
        <w:widowControl w:val="1"/>
      </w:pPr>
      <w:r>
        <w:t>SLA, сопровождение и лимит доработок;</w:t>
      </w:r>
    </w:p>
    <w:p>
      <w:pPr>
        <w:pStyle w:val="ListBullet"/>
        <w:spacing w:after="80" w:line="300" w:lineRule="auto"/>
        <w:widowControl w:val="1"/>
      </w:pPr>
      <w:r>
        <w:t>изменение scope и оценка дополнительных работ;</w:t>
      </w:r>
    </w:p>
    <w:p>
      <w:pPr>
        <w:pStyle w:val="ListBullet"/>
        <w:spacing w:after="80" w:line="300" w:lineRule="auto"/>
        <w:widowControl w:val="1"/>
      </w:pPr>
      <w:r>
        <w:t>ограничения технологии и распределение ответственности;</w:t>
      </w:r>
    </w:p>
    <w:p>
      <w:pPr>
        <w:pStyle w:val="ListBullet"/>
        <w:spacing w:after="80" w:line="300" w:lineRule="auto"/>
        <w:widowControl w:val="1"/>
      </w:pPr>
      <w:r>
        <w:t>прекращение, экспорт данных и удаление доступов.</w:t>
      </w:r>
    </w:p>
    <w:p>
      <w:pPr>
        <w:pStyle w:val="Heading1"/>
        <w:widowControl w:val="1"/>
      </w:pPr>
      <w:r>
        <w:t>10. Внедрение и контроль эффектов</w:t>
      </w:r>
    </w:p>
    <w:p>
      <w:pPr>
        <w:pStyle w:val="Heading2"/>
        <w:widowControl w:val="1"/>
      </w:pPr>
      <w:r>
        <w:t>10.1. Дорожная карта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1800"/>
        <w:gridCol w:w="4000"/>
        <w:gridCol w:w="3560"/>
      </w:tblGrid>
      <w:tr>
        <w:trPr>
          <w:tblHeader w:val="true"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Этап</w:t>
            </w:r>
          </w:p>
        </w:tc>
        <w:tc>
          <w:tcPr>
            <w:tcW w:type="dxa" w:w="40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Результат</w:t>
            </w:r>
          </w:p>
        </w:tc>
        <w:tc>
          <w:tcPr>
            <w:tcW w:type="dxa" w:w="35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Контрольная точка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Discovery</w:t>
            </w:r>
          </w:p>
        </w:tc>
        <w:tc>
          <w:tcPr>
            <w:tcW w:type="dxa" w:w="4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Паспорт процесса и гипотеза</w:t>
            </w:r>
          </w:p>
        </w:tc>
        <w:tc>
          <w:tcPr>
            <w:tcW w:type="dxa" w:w="35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Baseline подтверждён.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Проектирование</w:t>
            </w:r>
          </w:p>
        </w:tc>
        <w:tc>
          <w:tcPr>
            <w:tcW w:type="dxa" w:w="4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Архитектура, риски, план теста</w:t>
            </w:r>
          </w:p>
        </w:tc>
        <w:tc>
          <w:tcPr>
            <w:tcW w:type="dxa" w:w="35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Согласованы IT и ИБ.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MVP</w:t>
            </w:r>
          </w:p>
        </w:tc>
        <w:tc>
          <w:tcPr>
            <w:tcW w:type="dxa" w:w="4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Работающий ограниченный сценарий</w:t>
            </w:r>
          </w:p>
        </w:tc>
        <w:tc>
          <w:tcPr>
            <w:tcW w:type="dxa" w:w="35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Функциональные тесты.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Пилот</w:t>
            </w:r>
          </w:p>
        </w:tc>
        <w:tc>
          <w:tcPr>
            <w:tcW w:type="dxa" w:w="4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Данные на реальном потоке</w:t>
            </w:r>
          </w:p>
        </w:tc>
        <w:tc>
          <w:tcPr>
            <w:tcW w:type="dxa" w:w="35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Primary и guard-метрики.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Запуск</w:t>
            </w:r>
          </w:p>
        </w:tc>
        <w:tc>
          <w:tcPr>
            <w:tcW w:type="dxa" w:w="4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Интеграции, обучение, SLA</w:t>
            </w:r>
          </w:p>
        </w:tc>
        <w:tc>
          <w:tcPr>
            <w:tcW w:type="dxa" w:w="35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Приёмка и готовность поддержки.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Масштабирование</w:t>
            </w:r>
          </w:p>
        </w:tc>
        <w:tc>
          <w:tcPr>
            <w:tcW w:type="dxa" w:w="4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Новые сценарии и подразделения</w:t>
            </w:r>
          </w:p>
        </w:tc>
        <w:tc>
          <w:tcPr>
            <w:tcW w:type="dxa" w:w="35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Эффект сохраняется.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Эксплуатация</w:t>
            </w:r>
          </w:p>
        </w:tc>
        <w:tc>
          <w:tcPr>
            <w:tcW w:type="dxa" w:w="4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Мониторинг и улучшение</w:t>
            </w:r>
          </w:p>
        </w:tc>
        <w:tc>
          <w:tcPr>
            <w:tcW w:type="dxa" w:w="35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Периодический benefit review.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10.2. Benefit register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2100"/>
        <w:gridCol w:w="1200"/>
        <w:gridCol w:w="1200"/>
        <w:gridCol w:w="1800"/>
        <w:gridCol w:w="1800"/>
        <w:gridCol w:w="1260"/>
      </w:tblGrid>
      <w:tr>
        <w:trPr>
          <w:tblHeader w:val="true"/>
        </w:trP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Выгода</w:t>
            </w:r>
          </w:p>
        </w:tc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Baseline</w:t>
            </w:r>
          </w:p>
        </w:tc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Цель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Владелец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Источник</w:t>
            </w:r>
          </w:p>
        </w:tc>
        <w:tc>
          <w:tcPr>
            <w:tcW w:type="dxa" w:w="12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Срок</w:t>
            </w:r>
          </w:p>
        </w:tc>
      </w:tr>
      <w:tr>
        <w:tc>
          <w:tcPr>
            <w:tcW w:type="dxa" w:w="21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Время ответа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15 мин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≤ 1 мин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Руководитель сервиса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CRM/логи</w:t>
            </w:r>
          </w:p>
        </w:tc>
        <w:tc>
          <w:tcPr>
            <w:tcW w:type="dxa" w:w="12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4 недели</w:t>
            </w:r>
          </w:p>
        </w:tc>
      </w:tr>
      <w:tr>
        <w:tc>
          <w:tcPr>
            <w:tcW w:type="dxa" w:w="21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Доля автоматизации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0%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≥ 55%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Владелец процесса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Логи</w:t>
            </w:r>
          </w:p>
        </w:tc>
        <w:tc>
          <w:tcPr>
            <w:tcW w:type="dxa" w:w="12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4 недели</w:t>
            </w:r>
          </w:p>
        </w:tc>
      </w:tr>
      <w:tr>
        <w:tc>
          <w:tcPr>
            <w:tcW w:type="dxa" w:w="21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Критические ошибки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Не измерено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≤ 1%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Quality owner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Аудит выборки</w:t>
            </w:r>
          </w:p>
        </w:tc>
        <w:tc>
          <w:tcPr>
            <w:tcW w:type="dxa" w:w="12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Еженедельно</w:t>
            </w:r>
          </w:p>
        </w:tc>
      </w:tr>
      <w:tr>
        <w:tc>
          <w:tcPr>
            <w:tcW w:type="dxa" w:w="21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Экономия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По модели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CFO/спонсор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Финансовый учёт</w:t>
            </w:r>
          </w:p>
        </w:tc>
        <w:tc>
          <w:tcPr>
            <w:tcW w:type="dxa" w:w="12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Квартал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10.3. После запуска</w:t>
      </w:r>
    </w:p>
    <w:p>
      <w:pPr>
        <w:pStyle w:val="ListBullet"/>
        <w:spacing w:after="80" w:line="300" w:lineRule="auto"/>
        <w:widowControl w:val="1"/>
      </w:pPr>
      <w:r>
        <w:t>ежедневно: доступность, инциденты, стоимость и критические ошибки;</w:t>
      </w:r>
    </w:p>
    <w:p>
      <w:pPr>
        <w:pStyle w:val="ListBullet"/>
        <w:spacing w:after="80" w:line="300" w:lineRule="auto"/>
        <w:widowControl w:val="1"/>
      </w:pPr>
      <w:r>
        <w:t>еженедельно: качество выборки, эскалации, новые типы запросов;</w:t>
      </w:r>
    </w:p>
    <w:p>
      <w:pPr>
        <w:pStyle w:val="ListBullet"/>
        <w:spacing w:after="80" w:line="300" w:lineRule="auto"/>
        <w:widowControl w:val="1"/>
      </w:pPr>
      <w:r>
        <w:t>ежемесячно: бизнес-эффект, TCO, изменения данных и моделей;</w:t>
      </w:r>
    </w:p>
    <w:p>
      <w:pPr>
        <w:pStyle w:val="ListBullet"/>
        <w:spacing w:after="80" w:line="300" w:lineRule="auto"/>
        <w:widowControl w:val="1"/>
      </w:pPr>
      <w:r>
        <w:t>ежеквартально: решение о масштабировании, пересмотр рисков и выгод.</w:t>
      </w:r>
    </w:p>
    <w:p>
      <w:pPr>
        <w:widowControl w:val="1"/>
      </w:pPr>
      <w:r>
        <w:br w:type="page"/>
      </w:r>
    </w:p>
    <w:p>
      <w:pPr>
        <w:pStyle w:val="Heading1"/>
        <w:widowControl w:val="1"/>
      </w:pPr>
      <w:r>
        <w:t>11. Практические шаблоны и чек-листы</w:t>
      </w:r>
    </w:p>
    <w:p>
      <w:pPr>
        <w:pStyle w:val="Heading2"/>
        <w:widowControl w:val="1"/>
      </w:pPr>
      <w:r>
        <w:t>11.1. Одностраничный паспорт проекта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3000"/>
        <w:gridCol w:w="6360"/>
      </w:tblGrid>
      <w:tr>
        <w:trPr>
          <w:tblHeader w:val="true"/>
        </w:trPr>
        <w:tc>
          <w:tcPr>
            <w:tcW w:type="dxa" w:w="30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Поле</w:t>
            </w:r>
          </w:p>
        </w:tc>
        <w:tc>
          <w:tcPr>
            <w:tcW w:type="dxa" w:w="63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Заполнение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Проблема</w:t>
            </w:r>
          </w:p>
        </w:tc>
        <w:tc>
          <w:tcPr>
            <w:tcW w:type="dxa" w:w="63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_______________________________________________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Baseline</w:t>
            </w:r>
          </w:p>
        </w:tc>
        <w:tc>
          <w:tcPr>
            <w:tcW w:type="dxa" w:w="63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_______________________________________________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Целевая метрика</w:t>
            </w:r>
          </w:p>
        </w:tc>
        <w:tc>
          <w:tcPr>
            <w:tcW w:type="dxa" w:w="63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_______________________________________________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Guard-метрика</w:t>
            </w:r>
          </w:p>
        </w:tc>
        <w:tc>
          <w:tcPr>
            <w:tcW w:type="dxa" w:w="63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_______________________________________________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Пользователи</w:t>
            </w:r>
          </w:p>
        </w:tc>
        <w:tc>
          <w:tcPr>
            <w:tcW w:type="dxa" w:w="63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_______________________________________________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Данные и доступ</w:t>
            </w:r>
          </w:p>
        </w:tc>
        <w:tc>
          <w:tcPr>
            <w:tcW w:type="dxa" w:w="63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_______________________________________________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Scope пилота</w:t>
            </w:r>
          </w:p>
        </w:tc>
        <w:tc>
          <w:tcPr>
            <w:tcW w:type="dxa" w:w="63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_______________________________________________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Владелец выгоды</w:t>
            </w:r>
          </w:p>
        </w:tc>
        <w:tc>
          <w:tcPr>
            <w:tcW w:type="dxa" w:w="63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_______________________________________________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Критерий решения</w:t>
            </w:r>
          </w:p>
        </w:tc>
        <w:tc>
          <w:tcPr>
            <w:tcW w:type="dxa" w:w="63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_______________________________________________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11.2. Чек-лист готовности к встрече с ЛПР</w:t>
      </w:r>
    </w:p>
    <w:p>
      <w:pPr>
        <w:pStyle w:val="ListBullet"/>
        <w:spacing w:after="80" w:line="300" w:lineRule="auto"/>
        <w:widowControl w:val="1"/>
      </w:pPr>
      <w:r>
        <w:t>☐ Проблема выражена в цифрах.</w:t>
      </w:r>
    </w:p>
    <w:p>
      <w:pPr>
        <w:pStyle w:val="ListBullet"/>
        <w:spacing w:after="80" w:line="300" w:lineRule="auto"/>
        <w:widowControl w:val="1"/>
      </w:pPr>
      <w:r>
        <w:t>☐ Источник baseline подтверждён.</w:t>
      </w:r>
    </w:p>
    <w:p>
      <w:pPr>
        <w:pStyle w:val="ListBullet"/>
        <w:spacing w:after="80" w:line="300" w:lineRule="auto"/>
        <w:widowControl w:val="1"/>
      </w:pPr>
      <w:r>
        <w:t>☐ Есть консервативный и базовый сценарий экономики.</w:t>
      </w:r>
    </w:p>
    <w:p>
      <w:pPr>
        <w:pStyle w:val="ListBullet"/>
        <w:spacing w:after="80" w:line="300" w:lineRule="auto"/>
        <w:widowControl w:val="1"/>
      </w:pPr>
      <w:r>
        <w:t>☐ TCO включает поддержку и инфраструктуру.</w:t>
      </w:r>
    </w:p>
    <w:p>
      <w:pPr>
        <w:pStyle w:val="ListBullet"/>
        <w:spacing w:after="80" w:line="300" w:lineRule="auto"/>
        <w:widowControl w:val="1"/>
      </w:pPr>
      <w:r>
        <w:t>☐ Демо содержит сложный случай и эскалацию.</w:t>
      </w:r>
    </w:p>
    <w:p>
      <w:pPr>
        <w:pStyle w:val="ListBullet"/>
        <w:spacing w:after="80" w:line="300" w:lineRule="auto"/>
        <w:widowControl w:val="1"/>
      </w:pPr>
      <w:r>
        <w:t>☐ Названы ограничения и критерии остановки.</w:t>
      </w:r>
    </w:p>
    <w:p>
      <w:pPr>
        <w:pStyle w:val="ListBullet"/>
        <w:spacing w:after="80" w:line="300" w:lineRule="auto"/>
        <w:widowControl w:val="1"/>
      </w:pPr>
      <w:r>
        <w:t>☐ Есть ответы для IT, CFO, ИБ и пользователей.</w:t>
      </w:r>
    </w:p>
    <w:p>
      <w:pPr>
        <w:pStyle w:val="ListBullet"/>
        <w:spacing w:after="80" w:line="300" w:lineRule="auto"/>
        <w:widowControl w:val="1"/>
      </w:pPr>
      <w:r>
        <w:t>☐ Подготовлены КП, проект ТЗ и план пилота.</w:t>
      </w:r>
    </w:p>
    <w:p>
      <w:pPr>
        <w:pStyle w:val="ListBullet"/>
        <w:spacing w:after="80" w:line="300" w:lineRule="auto"/>
        <w:widowControl w:val="1"/>
      </w:pPr>
      <w:r>
        <w:t>☐ Определён один конкретный следующий шаг.</w:t>
      </w:r>
    </w:p>
    <w:p>
      <w:pPr>
        <w:pStyle w:val="Heading2"/>
        <w:widowControl w:val="1"/>
      </w:pPr>
      <w:r>
        <w:t>11.3. Чек-лист приёмки пилота</w:t>
      </w:r>
    </w:p>
    <w:p>
      <w:pPr>
        <w:pStyle w:val="ListBullet"/>
        <w:spacing w:after="80" w:line="300" w:lineRule="auto"/>
        <w:widowControl w:val="1"/>
      </w:pPr>
      <w:r>
        <w:t>☐ Выборка соответствует реальному процессу.</w:t>
      </w:r>
    </w:p>
    <w:p>
      <w:pPr>
        <w:pStyle w:val="ListBullet"/>
        <w:spacing w:after="80" w:line="300" w:lineRule="auto"/>
        <w:widowControl w:val="1"/>
      </w:pPr>
      <w:r>
        <w:t>☐ Метод оценки был определён до теста.</w:t>
      </w:r>
    </w:p>
    <w:p>
      <w:pPr>
        <w:pStyle w:val="ListBullet"/>
        <w:spacing w:after="80" w:line="300" w:lineRule="auto"/>
        <w:widowControl w:val="1"/>
      </w:pPr>
      <w:r>
        <w:t>☐ Primary-метрика достигнута.</w:t>
      </w:r>
    </w:p>
    <w:p>
      <w:pPr>
        <w:pStyle w:val="ListBullet"/>
        <w:spacing w:after="80" w:line="300" w:lineRule="auto"/>
        <w:widowControl w:val="1"/>
      </w:pPr>
      <w:r>
        <w:t>☐ Guard-метрики не нарушены.</w:t>
      </w:r>
    </w:p>
    <w:p>
      <w:pPr>
        <w:pStyle w:val="ListBullet"/>
        <w:spacing w:after="80" w:line="300" w:lineRule="auto"/>
        <w:widowControl w:val="1"/>
      </w:pPr>
      <w:r>
        <w:t>☐ Результат воспроизводим.</w:t>
      </w:r>
    </w:p>
    <w:p>
      <w:pPr>
        <w:pStyle w:val="ListBullet"/>
        <w:spacing w:after="80" w:line="300" w:lineRule="auto"/>
        <w:widowControl w:val="1"/>
      </w:pPr>
      <w:r>
        <w:t>☐ Интеграции и эскалации работают.</w:t>
      </w:r>
    </w:p>
    <w:p>
      <w:pPr>
        <w:pStyle w:val="ListBullet"/>
        <w:spacing w:after="80" w:line="300" w:lineRule="auto"/>
        <w:widowControl w:val="1"/>
      </w:pPr>
      <w:r>
        <w:t>☐ Стоимость эксплуатации измерена.</w:t>
      </w:r>
    </w:p>
    <w:p>
      <w:pPr>
        <w:pStyle w:val="ListBullet"/>
        <w:spacing w:after="80" w:line="300" w:lineRule="auto"/>
        <w:widowControl w:val="1"/>
      </w:pPr>
      <w:r>
        <w:t>☐ Пользователи прошли тестирование.</w:t>
      </w:r>
    </w:p>
    <w:p>
      <w:pPr>
        <w:pStyle w:val="ListBullet"/>
        <w:spacing w:after="80" w:line="300" w:lineRule="auto"/>
        <w:widowControl w:val="1"/>
      </w:pPr>
      <w:r>
        <w:t>☐ Владелец выгоды подтвердил результат.</w:t>
      </w:r>
    </w:p>
    <w:p>
      <w:pPr>
        <w:pStyle w:val="ListBullet"/>
        <w:spacing w:after="80" w:line="300" w:lineRule="auto"/>
        <w:widowControl w:val="1"/>
      </w:pPr>
      <w:r>
        <w:t>☐ Принято документированное решение.</w:t>
      </w:r>
    </w:p>
    <w:p>
      <w:pPr>
        <w:pStyle w:val="Heading2"/>
        <w:widowControl w:val="1"/>
      </w:pPr>
      <w:r>
        <w:t>11.4. Шаблон итогового решения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8E6"/>
          <w:left w:val="single" w:sz="6" w:color="C9D8E6"/>
          <w:bottom w:val="single" w:sz="6" w:color="C9D8E6"/>
          <w:right w:val="single" w:sz="6" w:color="C9D8E6"/>
          <w:insideH w:val="single" w:sz="6" w:color="C9D8E6"/>
          <w:insideV w:val="single" w:sz="6" w:color="C9D8E6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8FB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 xml:space="preserve">Решение. </w:t>
            </w:r>
            <w:r>
              <w:rPr>
                <w:rFonts w:ascii="Calibri" w:hAnsi="Calibri"/>
                <w:b w:val="0"/>
                <w:i w:val="0"/>
                <w:sz w:val="22"/>
              </w:rPr>
              <w:t>Масштабировать / доработать / остановить. Основание: результаты метрик, фактический TCO, выявленные риски и обратная связь пользователей. Владелец следующего действия: ________. Срок: ________.</w:t>
            </w:r>
          </w:p>
        </w:tc>
      </w:tr>
    </w:tbl>
    <w:p>
      <w:pPr>
        <w:spacing w:after="40"/>
        <w:widowControl w:val="1"/>
      </w:pPr>
    </w:p>
    <w:p>
      <w:pPr>
        <w:pStyle w:val="Heading1"/>
        <w:widowControl w:val="1"/>
      </w:pPr>
      <w:r>
        <w:t>12. Периодические материалы и литература</w:t>
      </w:r>
    </w:p>
    <w:p>
      <w:pPr>
        <w:pStyle w:val="Heading2"/>
        <w:widowControl w:val="1"/>
      </w:pPr>
      <w:r>
        <w:t>12.1. Что отслеживать регулярно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2700"/>
        <w:gridCol w:w="1700"/>
        <w:gridCol w:w="4960"/>
      </w:tblGrid>
      <w:tr>
        <w:trPr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Источник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Периодичность</w:t>
            </w:r>
          </w:p>
        </w:tc>
        <w:tc>
          <w:tcPr>
            <w:tcW w:type="dxa" w:w="49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Зачем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Stanford AI Index</w:t>
            </w:r>
          </w:p>
        </w:tc>
        <w:tc>
          <w:tcPr>
            <w:tcW w:type="dxa" w:w="1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Ежегодно</w:t>
            </w:r>
          </w:p>
        </w:tc>
        <w:tc>
          <w:tcPr>
            <w:tcW w:type="dxa" w:w="49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Инвестиции, применение, производительность, риски.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McKinsey State of AI</w:t>
            </w:r>
          </w:p>
        </w:tc>
        <w:tc>
          <w:tcPr>
            <w:tcW w:type="dxa" w:w="1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Ежегодно</w:t>
            </w:r>
          </w:p>
        </w:tc>
        <w:tc>
          <w:tcPr>
            <w:tcW w:type="dxa" w:w="49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Масштабирование и организационные практики.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PMI Pulse / Research</w:t>
            </w:r>
          </w:p>
        </w:tc>
        <w:tc>
          <w:tcPr>
            <w:tcW w:type="dxa" w:w="1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Ежегодно</w:t>
            </w:r>
          </w:p>
        </w:tc>
        <w:tc>
          <w:tcPr>
            <w:tcW w:type="dxa" w:w="49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Проектное управление и получение выгод.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NIST AI Resource Center</w:t>
            </w:r>
          </w:p>
        </w:tc>
        <w:tc>
          <w:tcPr>
            <w:tcW w:type="dxa" w:w="1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При обновлениях</w:t>
            </w:r>
          </w:p>
        </w:tc>
        <w:tc>
          <w:tcPr>
            <w:tcW w:type="dxa" w:w="49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Риск-менеджмент и практики доверенного AI.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OECD Digital Economy Outlook</w:t>
            </w:r>
          </w:p>
        </w:tc>
        <w:tc>
          <w:tcPr>
            <w:tcW w:type="dxa" w:w="1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Периодически</w:t>
            </w:r>
          </w:p>
        </w:tc>
        <w:tc>
          <w:tcPr>
            <w:tcW w:type="dxa" w:w="49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Экономика, политика и регулирование.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MIS Quarterly / ISR</w:t>
            </w:r>
          </w:p>
        </w:tc>
        <w:tc>
          <w:tcPr>
            <w:tcW w:type="dxa" w:w="1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Ежеквартально</w:t>
            </w:r>
          </w:p>
        </w:tc>
        <w:tc>
          <w:tcPr>
            <w:tcW w:type="dxa" w:w="49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Доказательные исследования принятия IT.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Project Management Journal / IJPM</w:t>
            </w:r>
          </w:p>
        </w:tc>
        <w:tc>
          <w:tcPr>
            <w:tcW w:type="dxa" w:w="1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Ежеквартально</w:t>
            </w:r>
          </w:p>
        </w:tc>
        <w:tc>
          <w:tcPr>
            <w:tcW w:type="dxa" w:w="49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Стейкхолдеры и успех проектов.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HBR / MIT SMR</w:t>
            </w:r>
          </w:p>
        </w:tc>
        <w:tc>
          <w:tcPr>
            <w:tcW w:type="dxa" w:w="17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Ежемесячно</w:t>
            </w:r>
          </w:p>
        </w:tc>
        <w:tc>
          <w:tcPr>
            <w:tcW w:type="dxa" w:w="49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Управленческие кейсы и язык бизнеса.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12.2. Ключевая литература за 100 лет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6300"/>
        <w:gridCol w:w="3060"/>
      </w:tblGrid>
      <w:tr>
        <w:trPr>
          <w:tblHeader w:val="true"/>
        </w:trPr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Работа</w:t>
            </w:r>
          </w:p>
        </w:tc>
        <w:tc>
          <w:tcPr>
            <w:tcW w:type="dxa" w:w="30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Вклад</w:t>
            </w:r>
          </w:p>
        </w:tc>
      </w:tr>
      <w:tr>
        <w:tc>
          <w:tcPr>
            <w:tcW w:type="dxa" w:w="6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Fisher, I. The Theory of Interest. 1930.</w:t>
            </w:r>
          </w:p>
        </w:tc>
        <w:tc>
          <w:tcPr>
            <w:tcW w:type="dxa" w:w="3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Временная стоимость денег и инвестиции.</w:t>
            </w:r>
          </w:p>
        </w:tc>
      </w:tr>
      <w:tr>
        <w:tc>
          <w:tcPr>
            <w:tcW w:type="dxa" w:w="6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Schumpeter, J. The Theory of Economic Development. 1934.</w:t>
            </w:r>
          </w:p>
        </w:tc>
        <w:tc>
          <w:tcPr>
            <w:tcW w:type="dxa" w:w="3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Инновации и развитие бизнеса.</w:t>
            </w:r>
          </w:p>
        </w:tc>
      </w:tr>
      <w:tr>
        <w:tc>
          <w:tcPr>
            <w:tcW w:type="dxa" w:w="6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Lewin, K. Frontiers in Group Dynamics. 1947.</w:t>
            </w:r>
          </w:p>
        </w:tc>
        <w:tc>
          <w:tcPr>
            <w:tcW w:type="dxa" w:w="3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Организационные изменения.</w:t>
            </w:r>
          </w:p>
        </w:tc>
      </w:tr>
      <w:tr>
        <w:tc>
          <w:tcPr>
            <w:tcW w:type="dxa" w:w="6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Rogers, E. Diffusion of Innovations. 1962.</w:t>
            </w:r>
          </w:p>
        </w:tc>
        <w:tc>
          <w:tcPr>
            <w:tcW w:type="dxa" w:w="3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Принятие и распространение инноваций.</w:t>
            </w:r>
          </w:p>
        </w:tc>
      </w:tr>
      <w:tr>
        <w:tc>
          <w:tcPr>
            <w:tcW w:type="dxa" w:w="6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Cyert, R.; March, J. A Behavioral Theory of the Firm. 1963.</w:t>
            </w:r>
          </w:p>
        </w:tc>
        <w:tc>
          <w:tcPr>
            <w:tcW w:type="dxa" w:w="3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Решения в организациях.</w:t>
            </w:r>
          </w:p>
        </w:tc>
      </w:tr>
      <w:tr>
        <w:tc>
          <w:tcPr>
            <w:tcW w:type="dxa" w:w="6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Freeman, R. E. Strategic Management: A Stakeholder Approach. 1984.</w:t>
            </w:r>
          </w:p>
        </w:tc>
        <w:tc>
          <w:tcPr>
            <w:tcW w:type="dxa" w:w="3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Управление заинтересованными сторонами.</w:t>
            </w:r>
          </w:p>
        </w:tc>
      </w:tr>
      <w:tr>
        <w:tc>
          <w:tcPr>
            <w:tcW w:type="dxa" w:w="6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Porter, M. Competitive Advantage. 1985.</w:t>
            </w:r>
          </w:p>
        </w:tc>
        <w:tc>
          <w:tcPr>
            <w:tcW w:type="dxa" w:w="3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Цепочка создания ценности.</w:t>
            </w:r>
          </w:p>
        </w:tc>
      </w:tr>
      <w:tr>
        <w:tc>
          <w:tcPr>
            <w:tcW w:type="dxa" w:w="6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Davis, F. Perceived Usefulness, Perceived Ease of Use, and User Acceptance of IT. 1989.</w:t>
            </w:r>
          </w:p>
        </w:tc>
        <w:tc>
          <w:tcPr>
            <w:tcW w:type="dxa" w:w="3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Принятие технологий.</w:t>
            </w:r>
          </w:p>
        </w:tc>
      </w:tr>
      <w:tr>
        <w:tc>
          <w:tcPr>
            <w:tcW w:type="dxa" w:w="6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Moore, G. Crossing the Chasm. 1991.</w:t>
            </w:r>
          </w:p>
        </w:tc>
        <w:tc>
          <w:tcPr>
            <w:tcW w:type="dxa" w:w="3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Переход от раннего рынка к масштабированию.</w:t>
            </w:r>
          </w:p>
        </w:tc>
      </w:tr>
      <w:tr>
        <w:tc>
          <w:tcPr>
            <w:tcW w:type="dxa" w:w="6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Kaplan, R.; Norton, D. The Balanced Scorecard. 1992.</w:t>
            </w:r>
          </w:p>
        </w:tc>
        <w:tc>
          <w:tcPr>
            <w:tcW w:type="dxa" w:w="3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Система показателей.</w:t>
            </w:r>
          </w:p>
        </w:tc>
      </w:tr>
      <w:tr>
        <w:tc>
          <w:tcPr>
            <w:tcW w:type="dxa" w:w="6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Kotter, J. Leading Change. 1995.</w:t>
            </w:r>
          </w:p>
        </w:tc>
        <w:tc>
          <w:tcPr>
            <w:tcW w:type="dxa" w:w="3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Изменение организации.</w:t>
            </w:r>
          </w:p>
        </w:tc>
      </w:tr>
      <w:tr>
        <w:tc>
          <w:tcPr>
            <w:tcW w:type="dxa" w:w="6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Christensen, C. The Innovator’s Dilemma. 1997.</w:t>
            </w:r>
          </w:p>
        </w:tc>
        <w:tc>
          <w:tcPr>
            <w:tcW w:type="dxa" w:w="3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Прорывные технологии.</w:t>
            </w:r>
          </w:p>
        </w:tc>
      </w:tr>
      <w:tr>
        <w:tc>
          <w:tcPr>
            <w:tcW w:type="dxa" w:w="6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Ward, J.; Daniel, E. Benefits Management. 2006.</w:t>
            </w:r>
          </w:p>
        </w:tc>
        <w:tc>
          <w:tcPr>
            <w:tcW w:type="dxa" w:w="3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Получение выгод от IT.</w:t>
            </w:r>
          </w:p>
        </w:tc>
      </w:tr>
      <w:tr>
        <w:tc>
          <w:tcPr>
            <w:tcW w:type="dxa" w:w="6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Ries, E. The Lean Startup. 2011.</w:t>
            </w:r>
          </w:p>
        </w:tc>
        <w:tc>
          <w:tcPr>
            <w:tcW w:type="dxa" w:w="3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MVP и проверка гипотез.</w:t>
            </w:r>
          </w:p>
        </w:tc>
      </w:tr>
      <w:tr>
        <w:tc>
          <w:tcPr>
            <w:tcW w:type="dxa" w:w="6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Davenport, T.; Ronanki, R. Artificial Intelligence for the Real World. 2018.</w:t>
            </w:r>
          </w:p>
        </w:tc>
        <w:tc>
          <w:tcPr>
            <w:tcW w:type="dxa" w:w="3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Практические типы корпоративного AI.</w:t>
            </w:r>
          </w:p>
        </w:tc>
      </w:tr>
      <w:tr>
        <w:tc>
          <w:tcPr>
            <w:tcW w:type="dxa" w:w="6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Iansiti, M.; Lakhani, K. Competing in the Age of AI. 2020.</w:t>
            </w:r>
          </w:p>
        </w:tc>
        <w:tc>
          <w:tcPr>
            <w:tcW w:type="dxa" w:w="3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AI-операционная модель.</w:t>
            </w:r>
          </w:p>
        </w:tc>
      </w:tr>
      <w:tr>
        <w:tc>
          <w:tcPr>
            <w:tcW w:type="dxa" w:w="6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NIST. AI Risk Management Framework 1.0. 2023.</w:t>
            </w:r>
          </w:p>
        </w:tc>
        <w:tc>
          <w:tcPr>
            <w:tcW w:type="dxa" w:w="3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Управление AI-рисками.</w:t>
            </w:r>
          </w:p>
        </w:tc>
      </w:tr>
      <w:tr>
        <w:tc>
          <w:tcPr>
            <w:tcW w:type="dxa" w:w="630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Mollick, E. Co-Intelligence. 2024.</w:t>
            </w:r>
          </w:p>
        </w:tc>
        <w:tc>
          <w:tcPr>
            <w:tcW w:type="dxa" w:w="30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9"/>
              </w:rPr>
              <w:t>Совместная работа человека и AI.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12.3. Проверенные онлайн-источники</w:t>
      </w:r>
    </w:p>
    <w:p>
      <w:pPr>
        <w:spacing w:before="20" w:after="80"/>
        <w:widowControl w:val="1"/>
      </w:pPr>
      <w:r>
        <w:rPr>
          <w:rFonts w:ascii="Calibri" w:hAnsi="Calibri"/>
          <w:b/>
          <w:i w:val="0"/>
          <w:color w:val="666666"/>
          <w:sz w:val="18"/>
        </w:rPr>
        <w:t xml:space="preserve">Источник: </w:t>
      </w:r>
      <w:hyperlink r:id="rId12">
        <w:r>
          <w:rPr>
            <w:color w:val="2E74B5"/>
            <w:u w:val="single"/>
          </w:rPr>
          <w:t>MIS Quarterly: Davis, 1989</w:t>
        </w:r>
      </w:hyperlink>
    </w:p>
    <w:p>
      <w:pPr>
        <w:spacing w:before="20" w:after="80"/>
        <w:widowControl w:val="1"/>
      </w:pPr>
      <w:r>
        <w:rPr>
          <w:rFonts w:ascii="Calibri" w:hAnsi="Calibri"/>
          <w:b/>
          <w:i w:val="0"/>
          <w:color w:val="666666"/>
          <w:sz w:val="18"/>
        </w:rPr>
        <w:t xml:space="preserve">Источник: </w:t>
      </w:r>
      <w:hyperlink r:id="rId13">
        <w:r>
          <w:rPr>
            <w:color w:val="2E74B5"/>
            <w:u w:val="single"/>
          </w:rPr>
          <w:t>Harvard Business Review: Balanced Scorecard</w:t>
        </w:r>
      </w:hyperlink>
    </w:p>
    <w:p>
      <w:pPr>
        <w:spacing w:before="20" w:after="80"/>
        <w:widowControl w:val="1"/>
      </w:pPr>
      <w:r>
        <w:rPr>
          <w:rFonts w:ascii="Calibri" w:hAnsi="Calibri"/>
          <w:b/>
          <w:i w:val="0"/>
          <w:color w:val="666666"/>
          <w:sz w:val="18"/>
        </w:rPr>
        <w:t xml:space="preserve">Источник: </w:t>
      </w:r>
      <w:hyperlink r:id="rId14">
        <w:r>
          <w:rPr>
            <w:color w:val="2E74B5"/>
            <w:u w:val="single"/>
          </w:rPr>
          <w:t>PMI: Benefits Realization Management</w:t>
        </w:r>
      </w:hyperlink>
    </w:p>
    <w:p>
      <w:pPr>
        <w:spacing w:before="20" w:after="80"/>
        <w:widowControl w:val="1"/>
      </w:pPr>
      <w:r>
        <w:rPr>
          <w:rFonts w:ascii="Calibri" w:hAnsi="Calibri"/>
          <w:b/>
          <w:i w:val="0"/>
          <w:color w:val="666666"/>
          <w:sz w:val="18"/>
        </w:rPr>
        <w:t xml:space="preserve">Источник: </w:t>
      </w:r>
      <w:hyperlink r:id="rId15">
        <w:r>
          <w:rPr>
            <w:color w:val="2E74B5"/>
            <w:u w:val="single"/>
          </w:rPr>
          <w:t>NIST AI RMF</w:t>
        </w:r>
      </w:hyperlink>
    </w:p>
    <w:p>
      <w:pPr>
        <w:spacing w:before="20" w:after="80"/>
        <w:widowControl w:val="1"/>
      </w:pPr>
      <w:r>
        <w:rPr>
          <w:rFonts w:ascii="Calibri" w:hAnsi="Calibri"/>
          <w:b/>
          <w:i w:val="0"/>
          <w:color w:val="666666"/>
          <w:sz w:val="18"/>
        </w:rPr>
        <w:t xml:space="preserve">Источник: </w:t>
      </w:r>
      <w:hyperlink r:id="rId16">
        <w:r>
          <w:rPr>
            <w:color w:val="2E74B5"/>
            <w:u w:val="single"/>
          </w:rPr>
          <w:t>OECD AI Principles</w:t>
        </w:r>
      </w:hyperlink>
    </w:p>
    <w:p>
      <w:pPr>
        <w:spacing w:before="20" w:after="80"/>
        <w:widowControl w:val="1"/>
      </w:pPr>
      <w:r>
        <w:rPr>
          <w:rFonts w:ascii="Calibri" w:hAnsi="Calibri"/>
          <w:b/>
          <w:i w:val="0"/>
          <w:color w:val="666666"/>
          <w:sz w:val="18"/>
        </w:rPr>
        <w:t xml:space="preserve">Источник: </w:t>
      </w:r>
      <w:hyperlink r:id="rId17">
        <w:r>
          <w:rPr>
            <w:color w:val="2E74B5"/>
            <w:u w:val="single"/>
          </w:rPr>
          <w:t>Stanford AI Index 2026</w:t>
        </w:r>
      </w:hyperlink>
    </w:p>
    <w:p>
      <w:pPr>
        <w:spacing w:before="20" w:after="80"/>
        <w:widowControl w:val="1"/>
      </w:pPr>
      <w:r>
        <w:rPr>
          <w:rFonts w:ascii="Calibri" w:hAnsi="Calibri"/>
          <w:b/>
          <w:i w:val="0"/>
          <w:color w:val="666666"/>
          <w:sz w:val="18"/>
        </w:rPr>
        <w:t xml:space="preserve">Источник: </w:t>
      </w:r>
      <w:hyperlink r:id="rId18">
        <w:r>
          <w:rPr>
            <w:color w:val="2E74B5"/>
            <w:u w:val="single"/>
          </w:rPr>
          <w:t>McKinsey State of AI 2025</w:t>
        </w:r>
      </w:hyperlink>
    </w:p>
    <w:p>
      <w:pPr>
        <w:pStyle w:val="Heading1"/>
        <w:widowControl w:val="1"/>
      </w:pPr>
      <w:r>
        <w:t>Заключение</w:t>
      </w:r>
    </w:p>
    <w:p>
      <w:pPr>
        <w:spacing w:before="0"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За 100 лет фокус сместился от оценки капитальных вложений к управлению целостной системой ценности: финансами, процессом, людьми, данными, рисками и ответственностью. Сильная защита AI-проекта не преувеличивает возможности модели. Она делает гипотезу проверяемой, экономику прозрачной, риск управляемым, а следующее решение — конкретным.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8E6"/>
          <w:left w:val="single" w:sz="6" w:color="C9D8E6"/>
          <w:bottom w:val="single" w:sz="6" w:color="C9D8E6"/>
          <w:right w:val="single" w:sz="6" w:color="C9D8E6"/>
          <w:insideH w:val="single" w:sz="6" w:color="C9D8E6"/>
          <w:insideV w:val="single" w:sz="6" w:color="C9D8E6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AF4EC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2E6B45"/>
                <w:sz w:val="22"/>
              </w:rPr>
              <w:t xml:space="preserve">Итоговая последовательность. </w:t>
            </w:r>
            <w:r>
              <w:rPr>
                <w:rFonts w:ascii="Calibri" w:hAnsi="Calibri"/>
                <w:b w:val="0"/>
                <w:i w:val="0"/>
                <w:sz w:val="22"/>
              </w:rPr>
              <w:t>Бизнес-проблема → baseline → гипотеза → сценарная экономика → безопасный пилот → измерение → решение → договор → внедрение → контроль выгод.</w:t>
            </w:r>
          </w:p>
        </w:tc>
      </w:tr>
    </w:tbl>
    <w:p>
      <w:pPr>
        <w:spacing w:after="40"/>
        <w:widowControl w:val="1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666666"/>
        <w:sz w:val="16"/>
      </w:rPr>
      <w:t xml:space="preserve">Экономическое обоснование и внедрение AI-проектов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 w:val="0"/>
        <w:i w:val="0"/>
        <w:color w:val="666666"/>
        <w:sz w:val="16"/>
      </w:rPr>
      <w:t>МЕТОДИЧЕСКОЕ РУКОВОДСТВО  |  28.08.2026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nist.gov/publications/artificial-intelligence-risk-management-framework-ai-rmf-10" TargetMode="External"/><Relationship Id="rId12" Type="http://schemas.openxmlformats.org/officeDocument/2006/relationships/hyperlink" Target="https://misq.umn.edu/misq/article/13/3/319/191/Perceived-Usefulness-Perceived-Ease-of-Use-and" TargetMode="External"/><Relationship Id="rId13" Type="http://schemas.openxmlformats.org/officeDocument/2006/relationships/hyperlink" Target="https://hbr.org/1992/01/the-balanced-scorecard-measures-that-drive-performance-2" TargetMode="External"/><Relationship Id="rId14" Type="http://schemas.openxmlformats.org/officeDocument/2006/relationships/hyperlink" Target="https://www.pmi.org/learning/library/benefits-realization-management-project-success-9653" TargetMode="External"/><Relationship Id="rId15" Type="http://schemas.openxmlformats.org/officeDocument/2006/relationships/hyperlink" Target="https://www.nist.gov/itl/ai-risk-management-framework" TargetMode="External"/><Relationship Id="rId16" Type="http://schemas.openxmlformats.org/officeDocument/2006/relationships/hyperlink" Target="https://www.oecd.org/en/topics/ai-principles.html" TargetMode="External"/><Relationship Id="rId17" Type="http://schemas.openxmlformats.org/officeDocument/2006/relationships/hyperlink" Target="https://hai.stanford.edu/ai-index/2026-ai-index-report" TargetMode="External"/><Relationship Id="rId18" Type="http://schemas.openxmlformats.org/officeDocument/2006/relationships/hyperlink" Target="https://www.mckinsey.com/capabilities/quantumblack/our-insights/the-state-of-ai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