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 w:line="276" w:lineRule="auto"/>
        <w:jc w:val="center"/>
      </w:pPr>
      <w:r>
        <w:rPr>
          <w:rFonts w:ascii="Aptos" w:hAnsi="Aptos" w:eastAsia="Aptos"/>
          <w:b w:val="0"/>
          <w:i w:val="0"/>
          <w:color w:val="F28C28"/>
          <w:sz w:val="20"/>
        </w:rPr>
        <w:t>МЕТОДИЧЕСКОЕ РУКОВОДСТВО</w:t>
      </w:r>
    </w:p>
    <w:p>
      <w:pPr>
        <w:spacing w:after="200" w:line="276" w:lineRule="auto"/>
        <w:jc w:val="center"/>
      </w:pPr>
      <w:r>
        <w:rPr>
          <w:rFonts w:ascii="Aptos" w:hAnsi="Aptos" w:eastAsia="Aptos"/>
          <w:b w:val="0"/>
          <w:i w:val="0"/>
          <w:color w:val="1F2A5A"/>
          <w:sz w:val="58"/>
        </w:rPr>
        <w:t>ДЕЛОВЫЕ И</w:t>
        <w:br/>
        <w:t>ПРОДАЮЩИЕ ПИСЬМА</w:t>
      </w:r>
    </w:p>
    <w:p>
      <w:pPr>
        <w:spacing w:after="640" w:line="276" w:lineRule="auto"/>
        <w:jc w:val="center"/>
      </w:pPr>
      <w:r>
        <w:rPr>
          <w:rFonts w:ascii="Aptos" w:hAnsi="Aptos" w:eastAsia="Aptos"/>
          <w:b w:val="0"/>
          <w:i w:val="0"/>
          <w:color w:val="626B78"/>
          <w:sz w:val="28"/>
        </w:rPr>
        <w:t>Как писать ясно, убедительно и ответственно —</w:t>
        <w:br/>
        <w:t>без давления, ложной уверенности и канцеляризмов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FFF1E2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F28C28"/>
                <w:sz w:val="20"/>
              </w:rPr>
              <w:t>Главный принцип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Доверие создаёт не громкость обещания, а соответствие слов фактам, возможностям и последующим действиям.</w:t>
            </w:r>
          </w:p>
        </w:tc>
      </w:tr>
    </w:tbl>
    <w:p>
      <w:pPr>
        <w:spacing w:after="20"/>
      </w:pPr>
    </w:p>
    <w:p>
      <w:pPr>
        <w:spacing w:after="80" w:line="276" w:lineRule="auto"/>
        <w:jc w:val="center"/>
      </w:pPr>
      <w:r>
        <w:rPr>
          <w:rFonts w:ascii="Aptos" w:hAnsi="Aptos" w:eastAsia="Aptos"/>
          <w:b/>
          <w:i w:val="0"/>
          <w:color w:val="15171A"/>
          <w:sz w:val="22"/>
        </w:rPr>
        <w:t>Автор-составитель:</w:t>
      </w:r>
      <w:r>
        <w:rPr>
          <w:rFonts w:ascii="Aptos" w:hAnsi="Aptos" w:eastAsia="Aptos"/>
          <w:b w:val="0"/>
          <w:i w:val="0"/>
          <w:color w:val="15171A"/>
          <w:sz w:val="22"/>
        </w:rPr>
        <w:t xml:space="preserve"> Степанов Д.А.</w:t>
      </w:r>
    </w:p>
    <w:p>
      <w:pPr>
        <w:spacing w:after="60" w:line="276" w:lineRule="auto"/>
        <w:jc w:val="center"/>
      </w:pPr>
      <w:r>
        <w:rPr>
          <w:rFonts w:ascii="Aptos" w:hAnsi="Aptos" w:eastAsia="Aptos"/>
          <w:b w:val="0"/>
          <w:i w:val="0"/>
          <w:color w:val="626B78"/>
          <w:sz w:val="20"/>
        </w:rPr>
        <w:t>Редакция от 24 августа 2026 года</w:t>
      </w:r>
    </w:p>
    <w:p>
      <w:pPr>
        <w:spacing w:after="0" w:line="276" w:lineRule="auto"/>
        <w:jc w:val="center"/>
      </w:pPr>
      <w:r>
        <w:rPr>
          <w:rFonts w:ascii="Aptos" w:hAnsi="Aptos" w:eastAsia="Aptos"/>
          <w:b w:val="0"/>
          <w:i w:val="0"/>
          <w:color w:val="626B78"/>
          <w:sz w:val="19"/>
        </w:rPr>
        <w:t>Практическая методика для переписки с клиентами, заказчиками, партнёрами и коллегами</w:t>
      </w:r>
    </w:p>
    <w:p>
      <w:r>
        <w:br w:type="page"/>
      </w:r>
    </w:p>
    <w:p>
      <w:pPr>
        <w:pStyle w:val="Heading1"/>
        <w:keepNext/>
      </w:pPr>
      <w:r>
        <w:t>Аннотация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Методичка объединяет международные стандарты ясного языка, исследования доверия и убеждения, лучшие практики деловой переписки и современные подходы к AI-редактированию. Она предназначена для специалистов, которые продают услуги, ведут проекты, отвечают клиентам, готовят предложения и используют нейросети для черновиков писем.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Не сборник «запрещённых слов»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Слова оцениваются по функции и контексту. «Возможно» полезно при честной неопределённости; «извините» необходимо при реальном нарушении; «я сделаю» допустимо только для контролируемого результата.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Как пользоваться руководством</w:t>
      </w:r>
    </w:p>
    <w:p>
      <w:pPr>
        <w:pStyle w:val="ListNumber"/>
        <w:spacing w:after="60"/>
      </w:pPr>
      <w:r>
        <w:rPr>
          <w:rFonts w:ascii="Aptos" w:hAnsi="Aptos" w:eastAsia="Aptos"/>
          <w:b w:val="0"/>
          <w:i w:val="0"/>
          <w:color w:val="15171A"/>
          <w:sz w:val="20"/>
        </w:rPr>
        <w:t>Перед отправкой важного письма используйте алгоритм из главы 5.</w:t>
      </w:r>
    </w:p>
    <w:p>
      <w:pPr>
        <w:pStyle w:val="ListNumber"/>
        <w:spacing w:after="60"/>
      </w:pPr>
      <w:r>
        <w:rPr>
          <w:rFonts w:ascii="Aptos" w:hAnsi="Aptos" w:eastAsia="Aptos"/>
          <w:b w:val="0"/>
          <w:i w:val="0"/>
          <w:color w:val="15171A"/>
          <w:sz w:val="20"/>
        </w:rPr>
        <w:t>Для типовых ситуаций берите шаблон из части IV и адаптируйте его под факты.</w:t>
      </w:r>
    </w:p>
    <w:p>
      <w:pPr>
        <w:pStyle w:val="ListNumber"/>
        <w:spacing w:after="60"/>
      </w:pPr>
      <w:r>
        <w:rPr>
          <w:rFonts w:ascii="Aptos" w:hAnsi="Aptos" w:eastAsia="Aptos"/>
          <w:b w:val="0"/>
          <w:i w:val="0"/>
          <w:color w:val="15171A"/>
          <w:sz w:val="20"/>
        </w:rPr>
        <w:t>Проверяйте письмо по матрице качества из главы 16.</w:t>
      </w:r>
    </w:p>
    <w:p>
      <w:pPr>
        <w:pStyle w:val="ListNumber"/>
        <w:spacing w:after="60"/>
      </w:pPr>
      <w:r>
        <w:rPr>
          <w:rFonts w:ascii="Aptos" w:hAnsi="Aptos" w:eastAsia="Aptos"/>
          <w:b w:val="0"/>
          <w:i w:val="0"/>
          <w:color w:val="15171A"/>
          <w:sz w:val="20"/>
        </w:rPr>
        <w:t>При работе с нейросетью используйте промпт-контракт и человеческую проверку из главы 15.</w:t>
      </w:r>
    </w:p>
    <w:p>
      <w:pPr>
        <w:pStyle w:val="Heading2"/>
        <w:keepNext/>
      </w:pPr>
      <w:r>
        <w:t>Область применения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475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Подходит</w:t>
            </w:r>
          </w:p>
        </w:tc>
        <w:tc>
          <w:tcPr>
            <w:tcW w:type="dxa" w:w="475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Не заменяет</w:t>
            </w:r>
          </w:p>
        </w:tc>
      </w:tr>
      <w:tr>
        <w:trPr/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B2B- и B2C-переписку, отклики на заказы, коммерческие предложения</w:t>
            </w:r>
          </w:p>
        </w:tc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Юридическую, медицинскую или финансовую экспертизу</w:t>
            </w:r>
          </w:p>
        </w:tc>
      </w:tr>
      <w:tr>
        <w:trPr/>
        <w:tc>
          <w:tcPr>
            <w:tcW w:type="dxa" w:w="475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Ответы на претензии, сообщения о задержках, follow-up</w:t>
            </w:r>
          </w:p>
        </w:tc>
        <w:tc>
          <w:tcPr>
            <w:tcW w:type="dxa" w:w="475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Проверку фактов и полномочий отправителя</w:t>
            </w:r>
          </w:p>
        </w:tc>
      </w:tr>
      <w:tr>
        <w:trPr/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Письма в email, CRM, Telegram и других мессенджерах</w:t>
            </w:r>
          </w:p>
        </w:tc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Политику компании по персональным данным и конфиденциальности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Содержание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180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Раздел</w:t>
            </w:r>
          </w:p>
        </w:tc>
        <w:tc>
          <w:tcPr>
            <w:tcW w:type="dxa" w:w="7704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Название</w:t>
            </w:r>
          </w:p>
        </w:tc>
      </w:tr>
      <w:tr>
        <w:trPr/>
        <w:tc>
          <w:tcPr>
            <w:tcW w:type="dxa" w:w="18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Часть I</w:t>
            </w:r>
          </w:p>
        </w:tc>
        <w:tc>
          <w:tcPr>
            <w:tcW w:type="dxa" w:w="77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Основа профессионального письма</w:t>
            </w:r>
          </w:p>
        </w:tc>
      </w:tr>
      <w:tr>
        <w:trPr/>
        <w:tc>
          <w:tcPr>
            <w:tcW w:type="dxa" w:w="18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</w:t>
            </w:r>
          </w:p>
        </w:tc>
        <w:tc>
          <w:tcPr>
            <w:tcW w:type="dxa" w:w="77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Что делает письмо сильным</w:t>
            </w:r>
          </w:p>
        </w:tc>
      </w:tr>
      <w:tr>
        <w:trPr/>
        <w:tc>
          <w:tcPr>
            <w:tcW w:type="dxa" w:w="18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2</w:t>
            </w:r>
          </w:p>
        </w:tc>
        <w:tc>
          <w:tcPr>
            <w:tcW w:type="dxa" w:w="77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Цель, адресат и контекст</w:t>
            </w:r>
          </w:p>
        </w:tc>
      </w:tr>
      <w:tr>
        <w:trPr/>
        <w:tc>
          <w:tcPr>
            <w:tcW w:type="dxa" w:w="18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3</w:t>
            </w:r>
          </w:p>
        </w:tc>
        <w:tc>
          <w:tcPr>
            <w:tcW w:type="dxa" w:w="77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Пять типов деловых писем</w:t>
            </w:r>
          </w:p>
        </w:tc>
      </w:tr>
      <w:tr>
        <w:trPr/>
        <w:tc>
          <w:tcPr>
            <w:tcW w:type="dxa" w:w="18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4</w:t>
            </w:r>
          </w:p>
        </w:tc>
        <w:tc>
          <w:tcPr>
            <w:tcW w:type="dxa" w:w="77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Ясный язык и сканируемость</w:t>
            </w:r>
          </w:p>
        </w:tc>
      </w:tr>
      <w:tr>
        <w:trPr/>
        <w:tc>
          <w:tcPr>
            <w:tcW w:type="dxa" w:w="18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5</w:t>
            </w:r>
          </w:p>
        </w:tc>
        <w:tc>
          <w:tcPr>
            <w:tcW w:type="dxa" w:w="77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Универсальный алгоритм письма</w:t>
            </w:r>
          </w:p>
        </w:tc>
      </w:tr>
      <w:tr>
        <w:trPr/>
        <w:tc>
          <w:tcPr>
            <w:tcW w:type="dxa" w:w="18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Часть II</w:t>
            </w:r>
          </w:p>
        </w:tc>
        <w:tc>
          <w:tcPr>
            <w:tcW w:type="dxa" w:w="77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Доверие без ложной уверенности</w:t>
            </w:r>
          </w:p>
        </w:tc>
      </w:tr>
      <w:tr>
        <w:trPr/>
        <w:tc>
          <w:tcPr>
            <w:tcW w:type="dxa" w:w="18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6</w:t>
            </w:r>
          </w:p>
        </w:tc>
        <w:tc>
          <w:tcPr>
            <w:tcW w:type="dxa" w:w="77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Из чего складывается доверие</w:t>
            </w:r>
          </w:p>
        </w:tc>
      </w:tr>
      <w:tr>
        <w:trPr/>
        <w:tc>
          <w:tcPr>
            <w:tcW w:type="dxa" w:w="18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7</w:t>
            </w:r>
          </w:p>
        </w:tc>
        <w:tc>
          <w:tcPr>
            <w:tcW w:type="dxa" w:w="77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Пять уровней определённости</w:t>
            </w:r>
          </w:p>
        </w:tc>
      </w:tr>
      <w:tr>
        <w:trPr/>
        <w:tc>
          <w:tcPr>
            <w:tcW w:type="dxa" w:w="18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8</w:t>
            </w:r>
          </w:p>
        </w:tc>
        <w:tc>
          <w:tcPr>
            <w:tcW w:type="dxa" w:w="77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Обещания, сроки и ответственность</w:t>
            </w:r>
          </w:p>
        </w:tc>
      </w:tr>
      <w:tr>
        <w:trPr/>
        <w:tc>
          <w:tcPr>
            <w:tcW w:type="dxa" w:w="18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9</w:t>
            </w:r>
          </w:p>
        </w:tc>
        <w:tc>
          <w:tcPr>
            <w:tcW w:type="dxa" w:w="77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Извинение и восстановление доверия</w:t>
            </w:r>
          </w:p>
        </w:tc>
      </w:tr>
      <w:tr>
        <w:trPr/>
        <w:tc>
          <w:tcPr>
            <w:tcW w:type="dxa" w:w="18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Часть III</w:t>
            </w:r>
          </w:p>
        </w:tc>
        <w:tc>
          <w:tcPr>
            <w:tcW w:type="dxa" w:w="77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Убеждение и продажи</w:t>
            </w:r>
          </w:p>
        </w:tc>
      </w:tr>
      <w:tr>
        <w:trPr/>
        <w:tc>
          <w:tcPr>
            <w:tcW w:type="dxa" w:w="18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10</w:t>
            </w:r>
          </w:p>
        </w:tc>
        <w:tc>
          <w:tcPr>
            <w:tcW w:type="dxa" w:w="77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Диагностика клиента</w:t>
            </w:r>
          </w:p>
        </w:tc>
      </w:tr>
      <w:tr>
        <w:trPr/>
        <w:tc>
          <w:tcPr>
            <w:tcW w:type="dxa" w:w="18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11</w:t>
            </w:r>
          </w:p>
        </w:tc>
        <w:tc>
          <w:tcPr>
            <w:tcW w:type="dxa" w:w="77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Аргументы, доказательства и ценность</w:t>
            </w:r>
          </w:p>
        </w:tc>
      </w:tr>
      <w:tr>
        <w:trPr/>
        <w:tc>
          <w:tcPr>
            <w:tcW w:type="dxa" w:w="18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12</w:t>
            </w:r>
          </w:p>
        </w:tc>
        <w:tc>
          <w:tcPr>
            <w:tcW w:type="dxa" w:w="77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Возражения и вопросы</w:t>
            </w:r>
          </w:p>
        </w:tc>
      </w:tr>
      <w:tr>
        <w:trPr/>
        <w:tc>
          <w:tcPr>
            <w:tcW w:type="dxa" w:w="18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13</w:t>
            </w:r>
          </w:p>
        </w:tc>
        <w:tc>
          <w:tcPr>
            <w:tcW w:type="dxa" w:w="77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Призыв к действию и follow-up</w:t>
            </w:r>
          </w:p>
        </w:tc>
      </w:tr>
      <w:tr>
        <w:trPr/>
        <w:tc>
          <w:tcPr>
            <w:tcW w:type="dxa" w:w="18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Часть IV</w:t>
            </w:r>
          </w:p>
        </w:tc>
        <w:tc>
          <w:tcPr>
            <w:tcW w:type="dxa" w:w="77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Практические шаблоны</w:t>
            </w:r>
          </w:p>
        </w:tc>
      </w:tr>
      <w:tr>
        <w:trPr/>
        <w:tc>
          <w:tcPr>
            <w:tcW w:type="dxa" w:w="18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14</w:t>
            </w:r>
          </w:p>
        </w:tc>
        <w:tc>
          <w:tcPr>
            <w:tcW w:type="dxa" w:w="77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Девять сценариев переписки</w:t>
            </w:r>
          </w:p>
        </w:tc>
      </w:tr>
      <w:tr>
        <w:trPr/>
        <w:tc>
          <w:tcPr>
            <w:tcW w:type="dxa" w:w="18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Часть V</w:t>
            </w:r>
          </w:p>
        </w:tc>
        <w:tc>
          <w:tcPr>
            <w:tcW w:type="dxa" w:w="77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AI и контроль качества</w:t>
            </w:r>
          </w:p>
        </w:tc>
      </w:tr>
      <w:tr>
        <w:trPr/>
        <w:tc>
          <w:tcPr>
            <w:tcW w:type="dxa" w:w="18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15</w:t>
            </w:r>
          </w:p>
        </w:tc>
        <w:tc>
          <w:tcPr>
            <w:tcW w:type="dxa" w:w="77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AI-редактор без галлюцинаций</w:t>
            </w:r>
          </w:p>
        </w:tc>
      </w:tr>
      <w:tr>
        <w:trPr/>
        <w:tc>
          <w:tcPr>
            <w:tcW w:type="dxa" w:w="18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16</w:t>
            </w:r>
          </w:p>
        </w:tc>
        <w:tc>
          <w:tcPr>
            <w:tcW w:type="dxa" w:w="77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Матрица проверки и метрики</w:t>
            </w:r>
          </w:p>
        </w:tc>
      </w:tr>
      <w:tr>
        <w:trPr/>
        <w:tc>
          <w:tcPr>
            <w:tcW w:type="dxa" w:w="18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Приложения</w:t>
            </w:r>
          </w:p>
        </w:tc>
        <w:tc>
          <w:tcPr>
            <w:tcW w:type="dxa" w:w="77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Чек-листы, словарь, литература и периодика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ЧАСТЬ I. ОСНОВА ПРОФЕССИОНАЛЬНОГО ПИСЬМА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FFF1E2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F28C28"/>
                <w:sz w:val="20"/>
              </w:rPr>
              <w:t>Цель части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Научиться быстро определять задачу письма и строить сообщение так, чтобы адресат понял смысл и следующий шаг с первого чтения.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1. Что делает письмо сильным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Сильное письмо — это управленческий инструмент. Оно уменьшает неопределённость, помогает принять решение и фиксирует ответственность. Красивый стиль вторичен: сначала письмо должно выполнить свою функцию.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2448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Критерий</w:t>
            </w:r>
          </w:p>
        </w:tc>
        <w:tc>
          <w:tcPr>
            <w:tcW w:type="dxa" w:w="7056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Проверочный вопрос</w:t>
            </w:r>
          </w:p>
        </w:tc>
      </w:tr>
      <w:tr>
        <w:trPr/>
        <w:tc>
          <w:tcPr>
            <w:tcW w:type="dxa" w:w="244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Ясность</w:t>
            </w:r>
          </w:p>
        </w:tc>
        <w:tc>
          <w:tcPr>
            <w:tcW w:type="dxa" w:w="705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Адресат поймёт цель за первые 10–15 секунд?</w:t>
            </w:r>
          </w:p>
        </w:tc>
      </w:tr>
      <w:tr>
        <w:trPr/>
        <w:tc>
          <w:tcPr>
            <w:tcW w:type="dxa" w:w="244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Релевантность</w:t>
            </w:r>
          </w:p>
        </w:tc>
        <w:tc>
          <w:tcPr>
            <w:tcW w:type="dxa" w:w="705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Текст отвечает на его ситуацию, а не рассказывает только о нас?</w:t>
            </w:r>
          </w:p>
        </w:tc>
      </w:tr>
      <w:tr>
        <w:trPr/>
        <w:tc>
          <w:tcPr>
            <w:tcW w:type="dxa" w:w="244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Доказательность</w:t>
            </w:r>
          </w:p>
        </w:tc>
        <w:tc>
          <w:tcPr>
            <w:tcW w:type="dxa" w:w="705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Есть факт, пример, расчёт или честно обозначенная гипотеза?</w:t>
            </w:r>
          </w:p>
        </w:tc>
      </w:tr>
      <w:tr>
        <w:trPr/>
        <w:tc>
          <w:tcPr>
            <w:tcW w:type="dxa" w:w="244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Ответственность</w:t>
            </w:r>
          </w:p>
        </w:tc>
        <w:tc>
          <w:tcPr>
            <w:tcW w:type="dxa" w:w="705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Понятно, кто и что делает дальше?</w:t>
            </w:r>
          </w:p>
        </w:tc>
      </w:tr>
      <w:tr>
        <w:trPr/>
        <w:tc>
          <w:tcPr>
            <w:tcW w:type="dxa" w:w="244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Удобство</w:t>
            </w:r>
          </w:p>
        </w:tc>
        <w:tc>
          <w:tcPr>
            <w:tcW w:type="dxa" w:w="705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Можно быстро просканировать заголовки, сроки и действие?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Ключевой вывод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Уверенный тон без доказательств выглядит как давление. Доказательство без ясного действия превращает письмо в справку.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2. Цель, адресат и контекст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До написания сформулируйте одну рабочую фразу: «После чтения адресат должен…». Если продолжение содержит два независимых действия, лучше разделить сообщение.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rPr>
          <w:tblHeader w:val="true"/>
        </w:trPr>
        <w:tc>
          <w:tcPr>
            <w:tcW w:type="dxa" w:w="1584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Элемент</w:t>
            </w:r>
          </w:p>
        </w:tc>
        <w:tc>
          <w:tcPr>
            <w:tcW w:type="dxa" w:w="331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Что выяснить</w:t>
            </w:r>
          </w:p>
        </w:tc>
        <w:tc>
          <w:tcPr>
            <w:tcW w:type="dxa" w:w="4608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Пример</w:t>
            </w:r>
          </w:p>
        </w:tc>
      </w:tr>
      <w:tr>
        <w:trPr/>
        <w:tc>
          <w:tcPr>
            <w:tcW w:type="dxa" w:w="15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Адресат</w:t>
            </w:r>
          </w:p>
        </w:tc>
        <w:tc>
          <w:tcPr>
            <w:tcW w:type="dxa" w:w="331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Роль, компетенции, интерес</w:t>
            </w:r>
          </w:p>
        </w:tc>
        <w:tc>
          <w:tcPr>
            <w:tcW w:type="dxa" w:w="460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Владелец бизнеса: важны риск, срок, окупаемость</w:t>
            </w:r>
          </w:p>
        </w:tc>
      </w:tr>
      <w:tr>
        <w:trPr/>
        <w:tc>
          <w:tcPr>
            <w:tcW w:type="dxa" w:w="15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Контекст</w:t>
            </w:r>
          </w:p>
        </w:tc>
        <w:tc>
          <w:tcPr>
            <w:tcW w:type="dxa" w:w="331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Что уже произошло</w:t>
            </w:r>
          </w:p>
        </w:tc>
        <w:tc>
          <w:tcPr>
            <w:tcW w:type="dxa" w:w="460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Клиент запросил оценку, но не прислал доступы</w:t>
            </w:r>
          </w:p>
        </w:tc>
      </w:tr>
      <w:tr>
        <w:trPr/>
        <w:tc>
          <w:tcPr>
            <w:tcW w:type="dxa" w:w="15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Состояние</w:t>
            </w:r>
          </w:p>
        </w:tc>
        <w:tc>
          <w:tcPr>
            <w:tcW w:type="dxa" w:w="331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Спокоен, сомневается, раздражён</w:t>
            </w:r>
          </w:p>
        </w:tc>
        <w:tc>
          <w:tcPr>
            <w:tcW w:type="dxa" w:w="460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При раздражении сначала признать проблему</w:t>
            </w:r>
          </w:p>
        </w:tc>
      </w:tr>
      <w:tr>
        <w:trPr/>
        <w:tc>
          <w:tcPr>
            <w:tcW w:type="dxa" w:w="15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Решение</w:t>
            </w:r>
          </w:p>
        </w:tc>
        <w:tc>
          <w:tcPr>
            <w:tcW w:type="dxa" w:w="331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Какой выбор требуется</w:t>
            </w:r>
          </w:p>
        </w:tc>
        <w:tc>
          <w:tcPr>
            <w:tcW w:type="dxa" w:w="460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Согласовать вариант A или B</w:t>
            </w:r>
          </w:p>
        </w:tc>
      </w:tr>
      <w:tr>
        <w:trPr/>
        <w:tc>
          <w:tcPr>
            <w:tcW w:type="dxa" w:w="15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Ограничение</w:t>
            </w:r>
          </w:p>
        </w:tc>
        <w:tc>
          <w:tcPr>
            <w:tcW w:type="dxa" w:w="331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Срок, бюджет, полномочия</w:t>
            </w:r>
          </w:p>
        </w:tc>
        <w:tc>
          <w:tcPr>
            <w:tcW w:type="dxa" w:w="460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Результат зависит от API поставщика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3. Пять типов деловых писем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rPr>
          <w:tblHeader w:val="true"/>
        </w:trPr>
        <w:tc>
          <w:tcPr>
            <w:tcW w:type="dxa" w:w="1656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Тип</w:t>
            </w:r>
          </w:p>
        </w:tc>
        <w:tc>
          <w:tcPr>
            <w:tcW w:type="dxa" w:w="324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Главная функция</w:t>
            </w:r>
          </w:p>
        </w:tc>
        <w:tc>
          <w:tcPr>
            <w:tcW w:type="dxa" w:w="4608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Финальная конструкция</w:t>
            </w:r>
          </w:p>
        </w:tc>
      </w:tr>
      <w:tr>
        <w:trPr/>
        <w:tc>
          <w:tcPr>
            <w:tcW w:type="dxa" w:w="165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Информирование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Передать статус или факт</w:t>
            </w:r>
          </w:p>
        </w:tc>
        <w:tc>
          <w:tcPr>
            <w:tcW w:type="dxa" w:w="460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«Следующее обновление — 26 августа в 15:00»</w:t>
            </w:r>
          </w:p>
        </w:tc>
      </w:tr>
      <w:tr>
        <w:trPr/>
        <w:tc>
          <w:tcPr>
            <w:tcW w:type="dxa" w:w="165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Запрос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Получить данные или решение</w:t>
            </w:r>
          </w:p>
        </w:tc>
        <w:tc>
          <w:tcPr>
            <w:tcW w:type="dxa" w:w="460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«Пришлите доступ до 12:00, чтобы сохранить срок»</w:t>
            </w:r>
          </w:p>
        </w:tc>
      </w:tr>
      <w:tr>
        <w:trPr/>
        <w:tc>
          <w:tcPr>
            <w:tcW w:type="dxa" w:w="165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Рекомендация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Помочь выбрать</w:t>
            </w:r>
          </w:p>
        </w:tc>
        <w:tc>
          <w:tcPr>
            <w:tcW w:type="dxa" w:w="460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«Рекомендую A: он снижает риск X»</w:t>
            </w:r>
          </w:p>
        </w:tc>
      </w:tr>
      <w:tr>
        <w:trPr/>
        <w:tc>
          <w:tcPr>
            <w:tcW w:type="dxa" w:w="165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Согласование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Зафиксировать выбранный вариант</w:t>
            </w:r>
          </w:p>
        </w:tc>
        <w:tc>
          <w:tcPr>
            <w:tcW w:type="dxa" w:w="460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«Подтвердите вариант A ответом на письмо»</w:t>
            </w:r>
          </w:p>
        </w:tc>
      </w:tr>
      <w:tr>
        <w:trPr/>
        <w:tc>
          <w:tcPr>
            <w:tcW w:type="dxa" w:w="165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Обязательство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Зафиксировать контролируемое действие</w:t>
            </w:r>
          </w:p>
        </w:tc>
        <w:tc>
          <w:tcPr>
            <w:tcW w:type="dxa" w:w="460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«Передам рабочий прототип 28 августа»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4. Ясный язык и сканируемость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ISO 24495-1:2023 определяет ясный язык через способность целевой аудитории найти, понять и использовать информацию. Поэтому упрощение словаря — только часть задачи. Важны структура, порядок и пригодность текста для действия.</w:t>
      </w:r>
    </w:p>
    <w:p>
      <w:pPr>
        <w:pStyle w:val="Heading2"/>
        <w:keepNext/>
      </w:pPr>
      <w:r>
        <w:t>Правила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Сначала вывод или требуемое действие, затем пояснения.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Один абзац — одна мысль; длинный перечень оформляйте списком.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Используйте знакомые точные слова вместо канцеляризмов.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Длинную тему письма превращайте в понятный маркер действия.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Цифры, даты, ответственность и ограничения пишите прямо.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Удаляйте саморекламу, которая не помогает принять решение.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475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Тяжёлая формулировка</w:t>
            </w:r>
          </w:p>
        </w:tc>
        <w:tc>
          <w:tcPr>
            <w:tcW w:type="dxa" w:w="475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Ясная формулировка</w:t>
            </w:r>
          </w:p>
        </w:tc>
      </w:tr>
      <w:tr>
        <w:trPr/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«В рамках реализации вышеуказанного функционала необходимо осуществить предоставление…»</w:t>
            </w:r>
          </w:p>
        </w:tc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«Для настройки пришлите API-ключ»</w:t>
            </w:r>
          </w:p>
        </w:tc>
      </w:tr>
      <w:tr>
        <w:trPr/>
        <w:tc>
          <w:tcPr>
            <w:tcW w:type="dxa" w:w="475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«Вопрос находится в процессе проработки»</w:t>
            </w:r>
          </w:p>
        </w:tc>
        <w:tc>
          <w:tcPr>
            <w:tcW w:type="dxa" w:w="475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«Проверяю причину. Отвечу сегодня до 17:00»</w:t>
            </w:r>
          </w:p>
        </w:tc>
      </w:tr>
      <w:tr>
        <w:trPr/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«Имеется возможность произвести интеграцию»</w:t>
            </w:r>
          </w:p>
        </w:tc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«Интеграция возможна через REST API»</w:t>
            </w:r>
          </w:p>
        </w:tc>
      </w:tr>
      <w:tr>
        <w:trPr/>
        <w:tc>
          <w:tcPr>
            <w:tcW w:type="dxa" w:w="475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«Просим вас дать обратную связь»</w:t>
            </w:r>
          </w:p>
        </w:tc>
        <w:tc>
          <w:tcPr>
            <w:tcW w:type="dxa" w:w="475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«Подтвердите вариант A до 25 августа»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5. Универсальный алгоритм письма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1944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Шаг</w:t>
            </w:r>
          </w:p>
        </w:tc>
        <w:tc>
          <w:tcPr>
            <w:tcW w:type="dxa" w:w="756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Содержание</w:t>
            </w:r>
          </w:p>
        </w:tc>
      </w:tr>
      <w:tr>
        <w:trPr/>
        <w:tc>
          <w:tcPr>
            <w:tcW w:type="dxa" w:w="194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1. Контекст</w:t>
            </w:r>
          </w:p>
        </w:tc>
        <w:tc>
          <w:tcPr>
            <w:tcW w:type="dxa" w:w="75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Почему вы пишете этому человеку сейчас.</w:t>
            </w:r>
          </w:p>
        </w:tc>
      </w:tr>
      <w:tr>
        <w:trPr/>
        <w:tc>
          <w:tcPr>
            <w:tcW w:type="dxa" w:w="194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2. Цель</w:t>
            </w:r>
          </w:p>
        </w:tc>
        <w:tc>
          <w:tcPr>
            <w:tcW w:type="dxa" w:w="756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Что требуется решить или понять.</w:t>
            </w:r>
          </w:p>
        </w:tc>
      </w:tr>
      <w:tr>
        <w:trPr/>
        <w:tc>
          <w:tcPr>
            <w:tcW w:type="dxa" w:w="194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3. Ценность</w:t>
            </w:r>
          </w:p>
        </w:tc>
        <w:tc>
          <w:tcPr>
            <w:tcW w:type="dxa" w:w="75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Почему это важно для адресата.</w:t>
            </w:r>
          </w:p>
        </w:tc>
      </w:tr>
      <w:tr>
        <w:trPr/>
        <w:tc>
          <w:tcPr>
            <w:tcW w:type="dxa" w:w="194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4. Основание</w:t>
            </w:r>
          </w:p>
        </w:tc>
        <w:tc>
          <w:tcPr>
            <w:tcW w:type="dxa" w:w="756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Факт, расчёт, пример или наблюдение.</w:t>
            </w:r>
          </w:p>
        </w:tc>
      </w:tr>
      <w:tr>
        <w:trPr/>
        <w:tc>
          <w:tcPr>
            <w:tcW w:type="dxa" w:w="194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5. Рекомендация</w:t>
            </w:r>
          </w:p>
        </w:tc>
        <w:tc>
          <w:tcPr>
            <w:tcW w:type="dxa" w:w="75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Что вы предлагаете и почему.</w:t>
            </w:r>
          </w:p>
        </w:tc>
      </w:tr>
      <w:tr>
        <w:trPr/>
        <w:tc>
          <w:tcPr>
            <w:tcW w:type="dxa" w:w="194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6. Следующий шаг</w:t>
            </w:r>
          </w:p>
        </w:tc>
        <w:tc>
          <w:tcPr>
            <w:tcW w:type="dxa" w:w="756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Одно конкретное действие.</w:t>
            </w:r>
          </w:p>
        </w:tc>
      </w:tr>
      <w:tr>
        <w:trPr/>
        <w:tc>
          <w:tcPr>
            <w:tcW w:type="dxa" w:w="194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7. Срок</w:t>
            </w:r>
          </w:p>
        </w:tc>
        <w:tc>
          <w:tcPr>
            <w:tcW w:type="dxa" w:w="75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Когда нужен ответ или что произойдёт дальше.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FFF1E2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F28C28"/>
                <w:sz w:val="20"/>
              </w:rPr>
              <w:t>Формула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Контекст → решение → основание → действие → срок. Не каждый короткий мессенджерный ответ требует всех пяти блоков, но логика должна сохраняться.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ЧАСТЬ II. ДОВЕРИЕ БЕЗ ЛОЖНОЙ УВЕРЕННОСТИ</w:t>
      </w:r>
    </w:p>
    <w:p>
      <w:pPr>
        <w:pStyle w:val="Heading1"/>
        <w:keepNext/>
      </w:pPr>
      <w:r>
        <w:t>6. Из чего складывается доверие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Модель Mayer, Davis и Schoorman связывает доверие с воспринимаемыми компетентностью, доброжелательностью и целостностью. В переписке эти свойства проявляются наблюдаемыми признаками.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rPr>
          <w:tblHeader w:val="true"/>
        </w:trPr>
        <w:tc>
          <w:tcPr>
            <w:tcW w:type="dxa" w:w="1944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Основа</w:t>
            </w:r>
          </w:p>
        </w:tc>
        <w:tc>
          <w:tcPr>
            <w:tcW w:type="dxa" w:w="3888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Как проявляется в письме</w:t>
            </w:r>
          </w:p>
        </w:tc>
        <w:tc>
          <w:tcPr>
            <w:tcW w:type="dxa" w:w="4176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Что разрушает</w:t>
            </w:r>
          </w:p>
        </w:tc>
      </w:tr>
      <w:tr>
        <w:trPr/>
        <w:tc>
          <w:tcPr>
            <w:tcW w:type="dxa" w:w="194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Компетентность</w:t>
            </w:r>
          </w:p>
        </w:tc>
        <w:tc>
          <w:tcPr>
            <w:tcW w:type="dxa" w:w="388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Точный диагноз задачи, факты, релевантный план</w:t>
            </w:r>
          </w:p>
        </w:tc>
        <w:tc>
          <w:tcPr>
            <w:tcW w:type="dxa" w:w="417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Общие слова, технические ошибки, неподтверждённые заявления</w:t>
            </w:r>
          </w:p>
        </w:tc>
      </w:tr>
      <w:tr>
        <w:trPr/>
        <w:tc>
          <w:tcPr>
            <w:tcW w:type="dxa" w:w="194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Доброжелательность</w:t>
            </w:r>
          </w:p>
        </w:tc>
        <w:tc>
          <w:tcPr>
            <w:tcW w:type="dxa" w:w="388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Учитываются интересы и риски адресата</w:t>
            </w:r>
          </w:p>
        </w:tc>
        <w:tc>
          <w:tcPr>
            <w:tcW w:type="dxa" w:w="417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Давление, игнорирование эмоций, эгоцентричный текст</w:t>
            </w:r>
          </w:p>
        </w:tc>
      </w:tr>
      <w:tr>
        <w:trPr/>
        <w:tc>
          <w:tcPr>
            <w:tcW w:type="dxa" w:w="194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Надёжность</w:t>
            </w:r>
          </w:p>
        </w:tc>
        <w:tc>
          <w:tcPr>
            <w:tcW w:type="dxa" w:w="388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Выполненные обещания, прозрачные сроки</w:t>
            </w:r>
          </w:p>
        </w:tc>
        <w:tc>
          <w:tcPr>
            <w:tcW w:type="dxa" w:w="417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Исчезновение, переносы без предупреждения, смена версии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7. Пять уровней определённости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rPr>
          <w:tblHeader w:val="true"/>
        </w:trPr>
        <w:tc>
          <w:tcPr>
            <w:tcW w:type="dxa" w:w="2088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Уровень</w:t>
            </w:r>
          </w:p>
        </w:tc>
        <w:tc>
          <w:tcPr>
            <w:tcW w:type="dxa" w:w="360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Формулировка</w:t>
            </w:r>
          </w:p>
        </w:tc>
        <w:tc>
          <w:tcPr>
            <w:tcW w:type="dxa" w:w="432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Правило</w:t>
            </w:r>
          </w:p>
        </w:tc>
      </w:tr>
      <w:tr>
        <w:trPr/>
        <w:tc>
          <w:tcPr>
            <w:tcW w:type="dxa" w:w="208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Проверенный факт</w:t>
            </w:r>
          </w:p>
        </w:tc>
        <w:tc>
          <w:tcPr>
            <w:tcW w:type="dxa" w:w="36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«По журналу запрос вернул 401 в 14:32»</w:t>
            </w:r>
          </w:p>
        </w:tc>
        <w:tc>
          <w:tcPr>
            <w:tcW w:type="dxa" w:w="432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Укажите источник или способ проверки</w:t>
            </w:r>
          </w:p>
        </w:tc>
      </w:tr>
      <w:tr>
        <w:trPr/>
        <w:tc>
          <w:tcPr>
            <w:tcW w:type="dxa" w:w="208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Профессиональная оценка</w:t>
            </w:r>
          </w:p>
        </w:tc>
        <w:tc>
          <w:tcPr>
            <w:tcW w:type="dxa" w:w="36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«Оценка работ — 12–16 часов»</w:t>
            </w:r>
          </w:p>
        </w:tc>
        <w:tc>
          <w:tcPr>
            <w:tcW w:type="dxa" w:w="432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Покажите допущения и диапазон</w:t>
            </w:r>
          </w:p>
        </w:tc>
      </w:tr>
      <w:tr>
        <w:trPr/>
        <w:tc>
          <w:tcPr>
            <w:tcW w:type="dxa" w:w="208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Гипотеза</w:t>
            </w:r>
          </w:p>
        </w:tc>
        <w:tc>
          <w:tcPr>
            <w:tcW w:type="dxa" w:w="36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«Вероятная причина — истёкший токен»</w:t>
            </w:r>
          </w:p>
        </w:tc>
        <w:tc>
          <w:tcPr>
            <w:tcW w:type="dxa" w:w="432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Обозначьте способ проверки</w:t>
            </w:r>
          </w:p>
        </w:tc>
      </w:tr>
      <w:tr>
        <w:trPr/>
        <w:tc>
          <w:tcPr>
            <w:tcW w:type="dxa" w:w="208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Рекомендация</w:t>
            </w:r>
          </w:p>
        </w:tc>
        <w:tc>
          <w:tcPr>
            <w:tcW w:type="dxa" w:w="36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«Рекомендую обновить токен и повторить тест»</w:t>
            </w:r>
          </w:p>
        </w:tc>
        <w:tc>
          <w:tcPr>
            <w:tcW w:type="dxa" w:w="432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Поясните ожидаемую пользу</w:t>
            </w:r>
          </w:p>
        </w:tc>
      </w:tr>
      <w:tr>
        <w:trPr/>
        <w:tc>
          <w:tcPr>
            <w:tcW w:type="dxa" w:w="208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Обязательство</w:t>
            </w:r>
          </w:p>
        </w:tc>
        <w:tc>
          <w:tcPr>
            <w:tcW w:type="dxa" w:w="36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«Проведу проверку до 17:00»</w:t>
            </w:r>
          </w:p>
        </w:tc>
        <w:tc>
          <w:tcPr>
            <w:tcW w:type="dxa" w:w="432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Обещайте только контролируемое действие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Зрелая уверенность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Не скрывает неизвестное, а ограничивает его: что известно, что предполагается, как проверить и когда будет точный ответ.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8. Обещания, сроки и ответственность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Фраза «я сделаю» усиливает доверие только тогда, когда результат находится под вашим контролем. Нельзя гарантировать продажи, одобрение площадки, отсутствие внешних сбоев или точность непроверенных данных.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468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Слабая или опасная формулировка</w:t>
            </w:r>
          </w:p>
        </w:tc>
        <w:tc>
          <w:tcPr>
            <w:tcW w:type="dxa" w:w="4824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Ответственная замена</w:t>
            </w:r>
          </w:p>
        </w:tc>
      </w:tr>
      <w:tr>
        <w:trPr/>
        <w:tc>
          <w:tcPr>
            <w:tcW w:type="dxa" w:w="46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«Гарантирую рост продаж на 30%»</w:t>
            </w:r>
          </w:p>
        </w:tc>
        <w:tc>
          <w:tcPr>
            <w:tcW w:type="dxa" w:w="482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«Настрою сценарий и измерим конверсию в четырёхнедельном пилоте»</w:t>
            </w:r>
          </w:p>
        </w:tc>
      </w:tr>
      <w:tr>
        <w:trPr/>
        <w:tc>
          <w:tcPr>
            <w:tcW w:type="dxa" w:w="46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«Сделаю всё к пятнице»</w:t>
            </w:r>
          </w:p>
        </w:tc>
        <w:tc>
          <w:tcPr>
            <w:tcW w:type="dxa" w:w="482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«К пятнице передам прототип: форма, интеграция и журнал ошибок»</w:t>
            </w:r>
          </w:p>
        </w:tc>
      </w:tr>
      <w:tr>
        <w:trPr/>
        <w:tc>
          <w:tcPr>
            <w:tcW w:type="dxa" w:w="46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«Попробую решить»</w:t>
            </w:r>
          </w:p>
        </w:tc>
        <w:tc>
          <w:tcPr>
            <w:tcW w:type="dxa" w:w="482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«Сегодня проверю три вероятные причины и сообщу результат до 18:00»</w:t>
            </w:r>
          </w:p>
        </w:tc>
      </w:tr>
      <w:tr>
        <w:trPr/>
        <w:tc>
          <w:tcPr>
            <w:tcW w:type="dxa" w:w="46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«Должно заработать»</w:t>
            </w:r>
          </w:p>
        </w:tc>
        <w:tc>
          <w:tcPr>
            <w:tcW w:type="dxa" w:w="482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«После изменения выполню smoke-test по пяти сценариям»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Модель обязательства</w:t>
      </w:r>
    </w:p>
    <w:p>
      <w:pPr>
        <w:spacing w:after="100" w:line="276" w:lineRule="auto"/>
      </w:pPr>
      <w:r>
        <w:rPr>
          <w:rFonts w:ascii="Aptos" w:hAnsi="Aptos" w:eastAsia="Aptos"/>
          <w:b w:val="0"/>
          <w:i/>
          <w:color w:val="365D9D"/>
          <w:sz w:val="21"/>
        </w:rPr>
        <w:t>Действие + результат/артефакт + срок + условие при необходимости + способ проверки.</w:t>
      </w:r>
    </w:p>
    <w:p>
      <w:pPr>
        <w:pStyle w:val="Heading1"/>
        <w:keepNext/>
      </w:pPr>
      <w:r>
        <w:t>9. Извинение и восстановление доверия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Извинение не является слабостью, если нарушение реально. Исследования показывают: эффективность ответа зависит от природы нарушения, признания ответственности и наличия исправления.</w:t>
      </w:r>
    </w:p>
    <w:p>
      <w:pPr>
        <w:pStyle w:val="ListNumber"/>
        <w:spacing w:after="60"/>
      </w:pPr>
      <w:r>
        <w:rPr>
          <w:rFonts w:ascii="Aptos" w:hAnsi="Aptos" w:eastAsia="Aptos"/>
          <w:b w:val="0"/>
          <w:i w:val="0"/>
          <w:color w:val="15171A"/>
          <w:sz w:val="20"/>
        </w:rPr>
        <w:t>Признать конкретное событие без ухода в оправдания.</w:t>
      </w:r>
    </w:p>
    <w:p>
      <w:pPr>
        <w:pStyle w:val="ListNumber"/>
        <w:spacing w:after="60"/>
      </w:pPr>
      <w:r>
        <w:rPr>
          <w:rFonts w:ascii="Aptos" w:hAnsi="Aptos" w:eastAsia="Aptos"/>
          <w:b w:val="0"/>
          <w:i w:val="0"/>
          <w:color w:val="15171A"/>
          <w:sz w:val="20"/>
        </w:rPr>
        <w:t>Показать понимание последствий для клиента.</w:t>
      </w:r>
    </w:p>
    <w:p>
      <w:pPr>
        <w:pStyle w:val="ListNumber"/>
        <w:spacing w:after="60"/>
      </w:pPr>
      <w:r>
        <w:rPr>
          <w:rFonts w:ascii="Aptos" w:hAnsi="Aptos" w:eastAsia="Aptos"/>
          <w:b w:val="0"/>
          <w:i w:val="0"/>
          <w:color w:val="15171A"/>
          <w:sz w:val="20"/>
        </w:rPr>
        <w:t>Взять ответственность в пределах фактов.</w:t>
      </w:r>
    </w:p>
    <w:p>
      <w:pPr>
        <w:pStyle w:val="ListNumber"/>
        <w:spacing w:after="60"/>
      </w:pPr>
      <w:r>
        <w:rPr>
          <w:rFonts w:ascii="Aptos" w:hAnsi="Aptos" w:eastAsia="Aptos"/>
          <w:b w:val="0"/>
          <w:i w:val="0"/>
          <w:color w:val="15171A"/>
          <w:sz w:val="20"/>
        </w:rPr>
        <w:t>Назвать корректирующее действие и срок.</w:t>
      </w:r>
    </w:p>
    <w:p>
      <w:pPr>
        <w:pStyle w:val="ListNumber"/>
        <w:spacing w:after="60"/>
      </w:pPr>
      <w:r>
        <w:rPr>
          <w:rFonts w:ascii="Aptos" w:hAnsi="Aptos" w:eastAsia="Aptos"/>
          <w:b w:val="0"/>
          <w:i w:val="0"/>
          <w:color w:val="15171A"/>
          <w:sz w:val="20"/>
        </w:rPr>
        <w:t>Объяснить, как предотвратить повторение.</w:t>
      </w:r>
    </w:p>
    <w:p>
      <w:pPr>
        <w:pStyle w:val="ListNumber"/>
        <w:spacing w:after="60"/>
      </w:pPr>
      <w:r>
        <w:rPr>
          <w:rFonts w:ascii="Aptos" w:hAnsi="Aptos" w:eastAsia="Aptos"/>
          <w:b w:val="0"/>
          <w:i w:val="0"/>
          <w:color w:val="15171A"/>
          <w:sz w:val="20"/>
        </w:rPr>
        <w:t>После выполнения сообщить результат.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FFF1E2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F28C28"/>
                <w:sz w:val="20"/>
              </w:rPr>
              <w:t>Пример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«Мы не передали отчёт в согласованный срок. Это задержало ваше решение. Отчёт будет отправлен сегодня до 16:00; дополнительно я ввёл контрольную точку за сутки до дедлайна. После отправки пришлю подтверждение.»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ЧАСТЬ III. УБЕЖДЕНИЕ И ПРОДАЖИ</w:t>
      </w:r>
    </w:p>
    <w:p>
      <w:pPr>
        <w:pStyle w:val="Heading1"/>
        <w:keepNext/>
      </w:pPr>
      <w:r>
        <w:t>10. Диагностика клиента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Продающее письмо начинается не с представления исполнителя, а с понимания ситуации адресата. Подход SPIN полезен как карта вопросов, но не как анкета, которой следует перегружать первое сообщение.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rPr>
          <w:tblHeader w:val="true"/>
        </w:trPr>
        <w:tc>
          <w:tcPr>
            <w:tcW w:type="dxa" w:w="1728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Фокус</w:t>
            </w:r>
          </w:p>
        </w:tc>
        <w:tc>
          <w:tcPr>
            <w:tcW w:type="dxa" w:w="3456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Вопрос себе</w:t>
            </w:r>
          </w:p>
        </w:tc>
        <w:tc>
          <w:tcPr>
            <w:tcW w:type="dxa" w:w="4608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Что написать</w:t>
            </w:r>
          </w:p>
        </w:tc>
      </w:tr>
      <w:tr>
        <w:trPr/>
        <w:tc>
          <w:tcPr>
            <w:tcW w:type="dxa" w:w="172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Ситуация</w:t>
            </w:r>
          </w:p>
        </w:tc>
        <w:tc>
          <w:tcPr>
            <w:tcW w:type="dxa" w:w="345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Что у клиента уже есть?</w:t>
            </w:r>
          </w:p>
        </w:tc>
        <w:tc>
          <w:tcPr>
            <w:tcW w:type="dxa" w:w="460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Короткое подтверждение контекста</w:t>
            </w:r>
          </w:p>
        </w:tc>
      </w:tr>
      <w:tr>
        <w:trPr/>
        <w:tc>
          <w:tcPr>
            <w:tcW w:type="dxa" w:w="172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Проблема</w:t>
            </w:r>
          </w:p>
        </w:tc>
        <w:tc>
          <w:tcPr>
            <w:tcW w:type="dxa" w:w="345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Что мешает результату?</w:t>
            </w:r>
          </w:p>
        </w:tc>
        <w:tc>
          <w:tcPr>
            <w:tcW w:type="dxa" w:w="460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Наблюдаемая проблема без преувеличения</w:t>
            </w:r>
          </w:p>
        </w:tc>
      </w:tr>
      <w:tr>
        <w:trPr/>
        <w:tc>
          <w:tcPr>
            <w:tcW w:type="dxa" w:w="172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Последствие</w:t>
            </w:r>
          </w:p>
        </w:tc>
        <w:tc>
          <w:tcPr>
            <w:tcW w:type="dxa" w:w="345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 чему приводит проблема?</w:t>
            </w:r>
          </w:p>
        </w:tc>
        <w:tc>
          <w:tcPr>
            <w:tcW w:type="dxa" w:w="460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Измеримый риск или потеря времени</w:t>
            </w:r>
          </w:p>
        </w:tc>
      </w:tr>
      <w:tr>
        <w:trPr/>
        <w:tc>
          <w:tcPr>
            <w:tcW w:type="dxa" w:w="172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Ценность</w:t>
            </w:r>
          </w:p>
        </w:tc>
        <w:tc>
          <w:tcPr>
            <w:tcW w:type="dxa" w:w="345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Что изменит решение?</w:t>
            </w:r>
          </w:p>
        </w:tc>
        <w:tc>
          <w:tcPr>
            <w:tcW w:type="dxa" w:w="460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Конкретный рабочий эффект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11. Аргументы, доказательства и ценность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Важное решение требует сильных аргументов. Социальные доказательства, статус и стиль могут привлечь внимание, но не должны подменять факты.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475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Сильнее</w:t>
            </w:r>
          </w:p>
        </w:tc>
        <w:tc>
          <w:tcPr>
            <w:tcW w:type="dxa" w:w="475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Слабее</w:t>
            </w:r>
          </w:p>
        </w:tc>
      </w:tr>
      <w:tr>
        <w:trPr/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Демонстрация, тест, протокол проверки</w:t>
            </w:r>
          </w:p>
        </w:tc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«Поверьте, это точно работает»</w:t>
            </w:r>
          </w:p>
        </w:tc>
      </w:tr>
      <w:tr>
        <w:trPr/>
        <w:tc>
          <w:tcPr>
            <w:tcW w:type="dxa" w:w="475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Кейс с исходными условиями и метрикой</w:t>
            </w:r>
          </w:p>
        </w:tc>
        <w:tc>
          <w:tcPr>
            <w:tcW w:type="dxa" w:w="475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Название известного клиента без результата</w:t>
            </w:r>
          </w:p>
        </w:tc>
      </w:tr>
      <w:tr>
        <w:trPr/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Расчёт с допущениями</w:t>
            </w:r>
          </w:p>
        </w:tc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Громкая цифра без методики</w:t>
            </w:r>
          </w:p>
        </w:tc>
      </w:tr>
      <w:tr>
        <w:trPr/>
        <w:tc>
          <w:tcPr>
            <w:tcW w:type="dxa" w:w="475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Ссылка на первичный источник</w:t>
            </w:r>
          </w:p>
        </w:tc>
        <w:tc>
          <w:tcPr>
            <w:tcW w:type="dxa" w:w="475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«Исследования показывают» без ссылки</w:t>
            </w:r>
          </w:p>
        </w:tc>
      </w:tr>
      <w:tr>
        <w:trPr/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Честное ограничение</w:t>
            </w:r>
          </w:p>
        </w:tc>
        <w:tc>
          <w:tcPr>
            <w:tcW w:type="dxa" w:w="475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Скрытие рисков до оплаты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Структура аргумента</w:t>
      </w:r>
    </w:p>
    <w:p>
      <w:pPr>
        <w:spacing w:after="100" w:line="276" w:lineRule="auto"/>
      </w:pPr>
      <w:r>
        <w:rPr>
          <w:rFonts w:ascii="Aptos" w:hAnsi="Aptos" w:eastAsia="Aptos"/>
          <w:b w:val="0"/>
          <w:i/>
          <w:color w:val="365D9D"/>
          <w:sz w:val="21"/>
        </w:rPr>
        <w:t>Тезис → основание → доказательство → ограничение → практический вывод.</w:t>
      </w:r>
    </w:p>
    <w:p>
      <w:pPr>
        <w:pStyle w:val="Heading1"/>
        <w:keepNext/>
      </w:pPr>
      <w:r>
        <w:t>12. Возражения и вопросы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Возражение — это не автоматическое согласие продолжать продажу. Сначала определите: это запрос информации, сомнение, ограничение, недоверие или окончательный отказ.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223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Ситуация</w:t>
            </w:r>
          </w:p>
        </w:tc>
        <w:tc>
          <w:tcPr>
            <w:tcW w:type="dxa" w:w="727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Ответная логика</w:t>
            </w:r>
          </w:p>
        </w:tc>
      </w:tr>
      <w:tr>
        <w:trPr/>
        <w:tc>
          <w:tcPr>
            <w:tcW w:type="dxa" w:w="22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«Дорого»</w:t>
            </w:r>
          </w:p>
        </w:tc>
        <w:tc>
          <w:tcPr>
            <w:tcW w:type="dxa" w:w="727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Уточнить критерий сравнения; показать состав, эффект и альтернативу</w:t>
            </w:r>
          </w:p>
        </w:tc>
      </w:tr>
      <w:tr>
        <w:trPr/>
        <w:tc>
          <w:tcPr>
            <w:tcW w:type="dxa" w:w="22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«Нужно подумать»</w:t>
            </w:r>
          </w:p>
        </w:tc>
        <w:tc>
          <w:tcPr>
            <w:tcW w:type="dxa" w:w="727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Уточнить, какой вопрос мешает решению; дать краткий материал</w:t>
            </w:r>
          </w:p>
        </w:tc>
      </w:tr>
      <w:tr>
        <w:trPr/>
        <w:tc>
          <w:tcPr>
            <w:tcW w:type="dxa" w:w="22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«У нас уже есть решение»</w:t>
            </w:r>
          </w:p>
        </w:tc>
        <w:tc>
          <w:tcPr>
            <w:tcW w:type="dxa" w:w="727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Понять, что работает и чего не хватает; не обесценивать текущую систему</w:t>
            </w:r>
          </w:p>
        </w:tc>
      </w:tr>
      <w:tr>
        <w:trPr/>
        <w:tc>
          <w:tcPr>
            <w:tcW w:type="dxa" w:w="22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Раздражение</w:t>
            </w:r>
          </w:p>
        </w:tc>
        <w:tc>
          <w:tcPr>
            <w:tcW w:type="dxa" w:w="727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Признать состояние и проблему; сократить сообщение; предложить один выход</w:t>
            </w:r>
          </w:p>
        </w:tc>
      </w:tr>
      <w:tr>
        <w:trPr/>
        <w:tc>
          <w:tcPr>
            <w:tcW w:type="dxa" w:w="22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Явный отказ</w:t>
            </w:r>
          </w:p>
        </w:tc>
        <w:tc>
          <w:tcPr>
            <w:tcW w:type="dxa" w:w="727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Уважить решение; не продолжать давление; оставить корректный канал возврата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13. Призыв к действию и follow-up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Призыв к действию должен быть конкретным, лёгким для выполнения и соразмерным стадии отношений. Просить договор на первом холодном касании обычно преждевременно.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1944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Стадия</w:t>
            </w:r>
          </w:p>
        </w:tc>
        <w:tc>
          <w:tcPr>
            <w:tcW w:type="dxa" w:w="756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Подходящий следующий шаг</w:t>
            </w:r>
          </w:p>
        </w:tc>
      </w:tr>
      <w:tr>
        <w:trPr/>
        <w:tc>
          <w:tcPr>
            <w:tcW w:type="dxa" w:w="194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Первый контакт</w:t>
            </w:r>
          </w:p>
        </w:tc>
        <w:tc>
          <w:tcPr>
            <w:tcW w:type="dxa" w:w="75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Ответить «актуально/неактуально» или выбрать время короткого разговора</w:t>
            </w:r>
          </w:p>
        </w:tc>
      </w:tr>
      <w:tr>
        <w:trPr/>
        <w:tc>
          <w:tcPr>
            <w:tcW w:type="dxa" w:w="194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Диагностика</w:t>
            </w:r>
          </w:p>
        </w:tc>
        <w:tc>
          <w:tcPr>
            <w:tcW w:type="dxa" w:w="756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Прислать данные, доступ или пример</w:t>
            </w:r>
          </w:p>
        </w:tc>
      </w:tr>
      <w:tr>
        <w:trPr/>
        <w:tc>
          <w:tcPr>
            <w:tcW w:type="dxa" w:w="194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Предложение</w:t>
            </w:r>
          </w:p>
        </w:tc>
        <w:tc>
          <w:tcPr>
            <w:tcW w:type="dxa" w:w="75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Выбрать вариант A/B или согласовать корректировку</w:t>
            </w:r>
          </w:p>
        </w:tc>
      </w:tr>
      <w:tr>
        <w:trPr/>
        <w:tc>
          <w:tcPr>
            <w:tcW w:type="dxa" w:w="194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Пилот</w:t>
            </w:r>
          </w:p>
        </w:tc>
        <w:tc>
          <w:tcPr>
            <w:tcW w:type="dxa" w:w="756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Подтвердить критерии успеха и дату старта</w:t>
            </w:r>
          </w:p>
        </w:tc>
      </w:tr>
      <w:tr>
        <w:trPr/>
        <w:tc>
          <w:tcPr>
            <w:tcW w:type="dxa" w:w="194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После молчания</w:t>
            </w:r>
          </w:p>
        </w:tc>
        <w:tc>
          <w:tcPr>
            <w:tcW w:type="dxa" w:w="75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Коротко напомнить контекст и дать простой выход из диалога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Follow-up без давления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«Возвращаюсь к вопросу интеграции. Чтобы сохранить старт 1 сентября, решение по варианту A или B нужно до среды. Если задача пока отложена, сообщите — я закрою её у себя и вернусь в удобный период.»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ЧАСТЬ IV. ПРАКТИЧЕСКИЕ ШАБЛОНЫ</w:t>
      </w:r>
    </w:p>
    <w:p>
      <w:pPr>
        <w:pStyle w:val="Heading1"/>
        <w:keepNext/>
      </w:pPr>
      <w:r>
        <w:t>14. Девять сценариев переписки</w:t>
      </w:r>
    </w:p>
    <w:p>
      <w:pPr>
        <w:pStyle w:val="Heading2"/>
        <w:keepNext/>
      </w:pPr>
      <w:r>
        <w:t>1. Первое обращение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Шаблон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Здравствуйте, [имя]. Изучил [проект/ситуацию]. Вижу основную задачу: [проблема клиента]. Предлагаю [решение], чтобы [результат]. Для точной оценки нужен один ответ: [вопрос]. После него пришлю план, срок и состав работ.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2. Ответ на запрос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Шаблон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Здравствуйте, [имя]. Задачу понял: [краткая формулировка]. Реализовать её можно через [подход]. Рекомендую [вариант], потому что [основание]. Результат проверки — [артефакт/критерий]. Срок — [дата]. Для начала нужен [вход].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3. Коммерческое предложение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Шаблон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Цель: [результат клиента]. Сейчас мешает: [проблема]. Решение включает: [3–5 результатов]. Стоимость: [сумма и состав]. Срок: [дата/этапы]. Ограничения: [зависимости]. Следующий шаг: [подтвердить пилот/созвон].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4. После встречи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Шаблон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Спасибо за встречу. Зафиксировал: 1) цель — […]; 2) выбранный вариант — […]; 3) с моей стороны — […] до [дата]; 4) с вашей стороны — […] до [дата]. Если всё верно, подтвердите ответом на письмо.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5. Напоминание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Шаблон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Здравствуйте, [имя]. Возвращаюсь к [предмет]. Для движения дальше нужен [конкретный ответ]. Если получить его до [дата], сохраним [срок/условие]. Если приоритет изменился, сообщите — скорректирую план.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6. Сообщение о задержке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Шаблон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Возникла задержка в [этап]. Причина, которую подтвердили: [факт]. Влияние: [что меняется]. Новый срок: [дата]. До [ближайшая точка] я [действие]. Если появится новый риск, сообщу сразу, не дожидаясь дедлайна.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7. Отказ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Шаблон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Спасибо за обращение. В текущих условиях я не смогу качественно выполнить [задача], потому что [краткое основание]. Могу предложить [реалистичная альтернатива/специалист/этап]. Это позволит [польза].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8. Ответ на претензию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Шаблон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Получил ваше обращение по [событие]. Проверенные факты: [факты]. Признаю [конкретное нарушение, если подтверждено]. Сейчас предпринимаем [действия]. До [дата] вы получите [результат]. По завершении пришлю итог и меры предотвращения повторения.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9. Возвращение клиента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EAF0FA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365D9D"/>
                <w:sz w:val="20"/>
              </w:rPr>
              <w:t>Шаблон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Здравствуйте, [имя]. Ранее мы обсуждали [задача]. За это время изменилось [релевантное изменение]. Для вашей ситуации это может дать [польза]. Если вопрос актуален, предложу обновлённый план на одной странице; если нет — не буду отвлекать.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Примеры «до/после»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4536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До</w:t>
            </w:r>
          </w:p>
        </w:tc>
        <w:tc>
          <w:tcPr>
            <w:tcW w:type="dxa" w:w="4968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После</w:t>
            </w:r>
          </w:p>
        </w:tc>
      </w:tr>
      <w:tr>
        <w:trPr/>
        <w:tc>
          <w:tcPr>
            <w:tcW w:type="dxa" w:w="453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«Наверное, смогу сделать за неделю»</w:t>
            </w:r>
          </w:p>
        </w:tc>
        <w:tc>
          <w:tcPr>
            <w:tcW w:type="dxa" w:w="496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«Предварительная оценка — 5–7 рабочих дней. Подтвержу после проверки API»</w:t>
            </w:r>
          </w:p>
        </w:tc>
      </w:tr>
      <w:tr>
        <w:trPr/>
        <w:tc>
          <w:tcPr>
            <w:tcW w:type="dxa" w:w="453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«Извините, что беспокою»</w:t>
            </w:r>
          </w:p>
        </w:tc>
        <w:tc>
          <w:tcPr>
            <w:tcW w:type="dxa" w:w="496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«Здравствуйте. Для продолжения проекта нужно согласовать один вопрос»</w:t>
            </w:r>
          </w:p>
        </w:tc>
      </w:tr>
      <w:tr>
        <w:trPr/>
        <w:tc>
          <w:tcPr>
            <w:tcW w:type="dxa" w:w="453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«Возможно, это сработает»</w:t>
            </w:r>
          </w:p>
        </w:tc>
        <w:tc>
          <w:tcPr>
            <w:tcW w:type="dxa" w:w="496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«Рабочая гипотеза — X. Проверю её тестом Y до 15:00»</w:t>
            </w:r>
          </w:p>
        </w:tc>
      </w:tr>
      <w:tr>
        <w:trPr/>
        <w:tc>
          <w:tcPr>
            <w:tcW w:type="dxa" w:w="453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«Вам решать»</w:t>
            </w:r>
          </w:p>
        </w:tc>
        <w:tc>
          <w:tcPr>
            <w:tcW w:type="dxa" w:w="496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«Рекомендую A: он быстрее и снижает риск X. Для выбора подтвердите A или B»</w:t>
            </w:r>
          </w:p>
        </w:tc>
      </w:tr>
      <w:tr>
        <w:trPr/>
        <w:tc>
          <w:tcPr>
            <w:tcW w:type="dxa" w:w="453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«Я всё гарантирую»</w:t>
            </w:r>
          </w:p>
        </w:tc>
        <w:tc>
          <w:tcPr>
            <w:tcW w:type="dxa" w:w="496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«Гарантирую выполнение перечисленных работ; бизнес-эффект проверим в пилоте»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ЧАСТЬ V. AI И КОНТРОЛЬ КАЧЕСТВА</w:t>
      </w:r>
    </w:p>
    <w:p>
      <w:pPr>
        <w:pStyle w:val="Heading1"/>
        <w:keepNext/>
      </w:pPr>
      <w:r>
        <w:t>15. AI-редактор без галлюцинаций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Нейросеть полезна для структуры, сокращения, вариантов темы и проверки тона. Она не должна самостоятельно придумывать факты, сроки, цены, кейсы, гарантии или юридические выводы.</w:t>
      </w:r>
    </w:p>
    <w:p>
      <w:pPr>
        <w:pStyle w:val="Heading2"/>
        <w:keepNext/>
      </w:pPr>
      <w:r>
        <w:t>Промпт-контракт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FFF1E2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F28C28"/>
                <w:sz w:val="20"/>
              </w:rPr>
              <w:t>Готовый промпт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Отредактируй письмо для [адресат и ситуация]. Цель: [действие]. Сохрани все факты, суммы и сроки без изменений. Не придумывай данные, кейсы, гарантии и причины. Разделяй факт, оценку, гипотезу, рекомендацию и обязательство. Стиль: ясный, уважительный, конкретный. Структура: контекст → решение → основание → следующий шаг → срок. Сначала перечисли обнаруженные риски, затем дай финальную версию до [N] слов.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Обязательная человеческая проверка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Имена, должности и адресаты.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Суммы, даты, сроки и состав работ.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Ссылки, цитаты и результаты исследований.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Обещания и границы полномочий.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Конфиденциальные и персональные данные.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Юридические, медицинские и финансовые формулировки.</w:t>
      </w:r>
    </w:p>
    <w:p>
      <w:pPr>
        <w:pStyle w:val="Heading2"/>
        <w:keepNext/>
      </w:pPr>
      <w:r>
        <w:t>Минимальная архитектура AI-помощника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187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Слой</w:t>
            </w:r>
          </w:p>
        </w:tc>
        <w:tc>
          <w:tcPr>
            <w:tcW w:type="dxa" w:w="763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Назначение</w:t>
            </w:r>
          </w:p>
        </w:tc>
      </w:tr>
      <w:tr>
        <w:trPr/>
        <w:tc>
          <w:tcPr>
            <w:tcW w:type="dxa" w:w="187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Правила</w:t>
            </w:r>
          </w:p>
        </w:tc>
        <w:tc>
          <w:tcPr>
            <w:tcW w:type="dxa" w:w="76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Короткий системный контракт: стиль, запреты, доказательность</w:t>
            </w:r>
          </w:p>
        </w:tc>
      </w:tr>
      <w:tr>
        <w:trPr/>
        <w:tc>
          <w:tcPr>
            <w:tcW w:type="dxa" w:w="187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Примеры</w:t>
            </w:r>
          </w:p>
        </w:tc>
        <w:tc>
          <w:tcPr>
            <w:tcW w:type="dxa" w:w="76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Одобренные письма и контрпримеры</w:t>
            </w:r>
          </w:p>
        </w:tc>
      </w:tr>
      <w:tr>
        <w:trPr/>
        <w:tc>
          <w:tcPr>
            <w:tcW w:type="dxa" w:w="187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RAG</w:t>
            </w:r>
          </w:p>
        </w:tc>
        <w:tc>
          <w:tcPr>
            <w:tcW w:type="dxa" w:w="76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Актуальные услуги, цены, политики, кейсы и FAQ</w:t>
            </w:r>
          </w:p>
        </w:tc>
      </w:tr>
      <w:tr>
        <w:trPr/>
        <w:tc>
          <w:tcPr>
            <w:tcW w:type="dxa" w:w="187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Валидатор</w:t>
            </w:r>
          </w:p>
        </w:tc>
        <w:tc>
          <w:tcPr>
            <w:tcW w:type="dxa" w:w="76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Проверка обязательных полей, сроков, ссылок, запрещённых обещаний</w:t>
            </w:r>
          </w:p>
        </w:tc>
      </w:tr>
      <w:tr>
        <w:trPr/>
        <w:tc>
          <w:tcPr>
            <w:tcW w:type="dxa" w:w="187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Человек</w:t>
            </w:r>
          </w:p>
        </w:tc>
        <w:tc>
          <w:tcPr>
            <w:tcW w:type="dxa" w:w="76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Подтверждение высокорисковых писем</w:t>
            </w:r>
          </w:p>
        </w:tc>
      </w:tr>
      <w:tr>
        <w:trPr/>
        <w:tc>
          <w:tcPr>
            <w:tcW w:type="dxa" w:w="187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Оценка</w:t>
            </w:r>
          </w:p>
        </w:tc>
        <w:tc>
          <w:tcPr>
            <w:tcW w:type="dxa" w:w="76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Регрессионный набор и журнал ошибок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16. Матрица проверки и метрики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rPr>
          <w:tblHeader w:val="true"/>
        </w:trPr>
        <w:tc>
          <w:tcPr>
            <w:tcW w:type="dxa" w:w="288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Критерий</w:t>
            </w:r>
          </w:p>
        </w:tc>
        <w:tc>
          <w:tcPr>
            <w:tcW w:type="dxa" w:w="216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0</w:t>
            </w:r>
          </w:p>
        </w:tc>
        <w:tc>
          <w:tcPr>
            <w:tcW w:type="dxa" w:w="216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2304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2</w:t>
            </w:r>
          </w:p>
        </w:tc>
      </w:tr>
      <w:tr>
        <w:trPr/>
        <w:tc>
          <w:tcPr>
            <w:tcW w:type="dxa" w:w="28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Цель</w:t>
            </w:r>
          </w:p>
        </w:tc>
        <w:tc>
          <w:tcPr>
            <w:tcW w:type="dxa" w:w="21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Неясна</w:t>
            </w:r>
          </w:p>
        </w:tc>
        <w:tc>
          <w:tcPr>
            <w:tcW w:type="dxa" w:w="21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Понятна частично</w:t>
            </w:r>
          </w:p>
        </w:tc>
        <w:tc>
          <w:tcPr>
            <w:tcW w:type="dxa" w:w="23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Одно ясное действие</w:t>
            </w:r>
          </w:p>
        </w:tc>
      </w:tr>
      <w:tr>
        <w:trPr/>
        <w:tc>
          <w:tcPr>
            <w:tcW w:type="dxa" w:w="28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Контекст</w:t>
            </w:r>
          </w:p>
        </w:tc>
        <w:tc>
          <w:tcPr>
            <w:tcW w:type="dxa" w:w="216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Отсутствует</w:t>
            </w:r>
          </w:p>
        </w:tc>
        <w:tc>
          <w:tcPr>
            <w:tcW w:type="dxa" w:w="216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Общий</w:t>
            </w:r>
          </w:p>
        </w:tc>
        <w:tc>
          <w:tcPr>
            <w:tcW w:type="dxa" w:w="23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Персональный и релевантный</w:t>
            </w:r>
          </w:p>
        </w:tc>
      </w:tr>
      <w:tr>
        <w:trPr/>
        <w:tc>
          <w:tcPr>
            <w:tcW w:type="dxa" w:w="28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Доказательства</w:t>
            </w:r>
          </w:p>
        </w:tc>
        <w:tc>
          <w:tcPr>
            <w:tcW w:type="dxa" w:w="21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Нет</w:t>
            </w:r>
          </w:p>
        </w:tc>
        <w:tc>
          <w:tcPr>
            <w:tcW w:type="dxa" w:w="21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Есть слабое основание</w:t>
            </w:r>
          </w:p>
        </w:tc>
        <w:tc>
          <w:tcPr>
            <w:tcW w:type="dxa" w:w="23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Проверяемые факты/пример</w:t>
            </w:r>
          </w:p>
        </w:tc>
      </w:tr>
      <w:tr>
        <w:trPr/>
        <w:tc>
          <w:tcPr>
            <w:tcW w:type="dxa" w:w="28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Определённость</w:t>
            </w:r>
          </w:p>
        </w:tc>
        <w:tc>
          <w:tcPr>
            <w:tcW w:type="dxa" w:w="216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Ложная или размытая</w:t>
            </w:r>
          </w:p>
        </w:tc>
        <w:tc>
          <w:tcPr>
            <w:tcW w:type="dxa" w:w="216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Частично разделена</w:t>
            </w:r>
          </w:p>
        </w:tc>
        <w:tc>
          <w:tcPr>
            <w:tcW w:type="dxa" w:w="23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Факт/оценка/гипотеза разделены</w:t>
            </w:r>
          </w:p>
        </w:tc>
      </w:tr>
      <w:tr>
        <w:trPr/>
        <w:tc>
          <w:tcPr>
            <w:tcW w:type="dxa" w:w="28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Ответственность</w:t>
            </w:r>
          </w:p>
        </w:tc>
        <w:tc>
          <w:tcPr>
            <w:tcW w:type="dxa" w:w="21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Неясно кто/когда</w:t>
            </w:r>
          </w:p>
        </w:tc>
        <w:tc>
          <w:tcPr>
            <w:tcW w:type="dxa" w:w="21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Есть действие без критерия</w:t>
            </w:r>
          </w:p>
        </w:tc>
        <w:tc>
          <w:tcPr>
            <w:tcW w:type="dxa" w:w="23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Владелец, срок, результат</w:t>
            </w:r>
          </w:p>
        </w:tc>
      </w:tr>
      <w:tr>
        <w:trPr/>
        <w:tc>
          <w:tcPr>
            <w:tcW w:type="dxa" w:w="28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Тон</w:t>
            </w:r>
          </w:p>
        </w:tc>
        <w:tc>
          <w:tcPr>
            <w:tcW w:type="dxa" w:w="216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Давление/заискивание</w:t>
            </w:r>
          </w:p>
        </w:tc>
        <w:tc>
          <w:tcPr>
            <w:tcW w:type="dxa" w:w="216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Нейтральный</w:t>
            </w:r>
          </w:p>
        </w:tc>
        <w:tc>
          <w:tcPr>
            <w:tcW w:type="dxa" w:w="230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Уважительный и уверенный</w:t>
            </w:r>
          </w:p>
        </w:tc>
      </w:tr>
      <w:tr>
        <w:trPr/>
        <w:tc>
          <w:tcPr>
            <w:tcW w:type="dxa" w:w="28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Сканируемость</w:t>
            </w:r>
          </w:p>
        </w:tc>
        <w:tc>
          <w:tcPr>
            <w:tcW w:type="dxa" w:w="21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Стена текста</w:t>
            </w:r>
          </w:p>
        </w:tc>
        <w:tc>
          <w:tcPr>
            <w:tcW w:type="dxa" w:w="216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Частично структурировано</w:t>
            </w:r>
          </w:p>
        </w:tc>
        <w:tc>
          <w:tcPr>
            <w:tcW w:type="dxa" w:w="230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Кратко, блоки, цифры видны</w:t>
            </w:r>
          </w:p>
        </w:tc>
      </w:tr>
    </w:tbl>
    <w:p>
      <w:pPr>
        <w:spacing w:after="40"/>
      </w:pPr>
    </w:p>
    <w:p>
      <w:pPr>
        <w:spacing w:after="100" w:line="276" w:lineRule="auto"/>
      </w:pPr>
      <w:r>
        <w:rPr>
          <w:rFonts w:ascii="Aptos" w:hAnsi="Aptos" w:eastAsia="Aptos"/>
          <w:b/>
          <w:i w:val="0"/>
          <w:color w:val="1F2A5A"/>
          <w:sz w:val="21"/>
        </w:rPr>
        <w:t>Порог выпуска:</w:t>
      </w:r>
      <w:r>
        <w:rPr>
          <w:rFonts w:ascii="Aptos" w:hAnsi="Aptos" w:eastAsia="Aptos"/>
          <w:b w:val="0"/>
          <w:i w:val="0"/>
          <w:color w:val="1F2A5A"/>
          <w:sz w:val="21"/>
        </w:rPr>
        <w:t xml:space="preserve"> не менее 11 из 14 баллов; ноль по доказательности, ответственности или корректности обещаний блокирует отправку независимо от суммы.</w:t>
      </w:r>
    </w:p>
    <w:p>
      <w:pPr>
        <w:pStyle w:val="Heading2"/>
        <w:keepNext/>
      </w:pPr>
      <w:r>
        <w:t>Метрики результата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rPr>
          <w:tblHeader w:val="true"/>
        </w:trPr>
        <w:tc>
          <w:tcPr>
            <w:tcW w:type="dxa" w:w="223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Метрика</w:t>
            </w:r>
          </w:p>
        </w:tc>
        <w:tc>
          <w:tcPr>
            <w:tcW w:type="dxa" w:w="367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Что показывает</w:t>
            </w:r>
          </w:p>
        </w:tc>
        <w:tc>
          <w:tcPr>
            <w:tcW w:type="dxa" w:w="360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Ограничение</w:t>
            </w:r>
          </w:p>
        </w:tc>
      </w:tr>
      <w:tr>
        <w:trPr/>
        <w:tc>
          <w:tcPr>
            <w:tcW w:type="dxa" w:w="22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Доля ответов</w:t>
            </w:r>
          </w:p>
        </w:tc>
        <w:tc>
          <w:tcPr>
            <w:tcW w:type="dxa" w:w="367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Получено ли внимание</w:t>
            </w:r>
          </w:p>
        </w:tc>
        <w:tc>
          <w:tcPr>
            <w:tcW w:type="dxa" w:w="36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Не все ответы полезны</w:t>
            </w:r>
          </w:p>
        </w:tc>
      </w:tr>
      <w:tr>
        <w:trPr/>
        <w:tc>
          <w:tcPr>
            <w:tcW w:type="dxa" w:w="22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Доля полезных ответов</w:t>
            </w:r>
          </w:p>
        </w:tc>
        <w:tc>
          <w:tcPr>
            <w:tcW w:type="dxa" w:w="367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Продвинулся ли вопрос</w:t>
            </w:r>
          </w:p>
        </w:tc>
        <w:tc>
          <w:tcPr>
            <w:tcW w:type="dxa" w:w="36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Нужно определить полезный ответ</w:t>
            </w:r>
          </w:p>
        </w:tc>
      </w:tr>
      <w:tr>
        <w:trPr/>
        <w:tc>
          <w:tcPr>
            <w:tcW w:type="dxa" w:w="22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Следующий шаг</w:t>
            </w:r>
          </w:p>
        </w:tc>
        <w:tc>
          <w:tcPr>
            <w:tcW w:type="dxa" w:w="367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Согласовано действие</w:t>
            </w:r>
          </w:p>
        </w:tc>
        <w:tc>
          <w:tcPr>
            <w:tcW w:type="dxa" w:w="36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Не равен продаже</w:t>
            </w:r>
          </w:p>
        </w:tc>
      </w:tr>
      <w:tr>
        <w:trPr/>
        <w:tc>
          <w:tcPr>
            <w:tcW w:type="dxa" w:w="22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Конверсия во встречу</w:t>
            </w:r>
          </w:p>
        </w:tc>
        <w:tc>
          <w:tcPr>
            <w:tcW w:type="dxa" w:w="367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Перевод в диалог</w:t>
            </w:r>
          </w:p>
        </w:tc>
        <w:tc>
          <w:tcPr>
            <w:tcW w:type="dxa" w:w="36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Зависит от качества аудитории</w:t>
            </w:r>
          </w:p>
        </w:tc>
      </w:tr>
      <w:tr>
        <w:trPr/>
        <w:tc>
          <w:tcPr>
            <w:tcW w:type="dxa" w:w="22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Время до решения</w:t>
            </w:r>
          </w:p>
        </w:tc>
        <w:tc>
          <w:tcPr>
            <w:tcW w:type="dxa" w:w="367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Скорость согласования</w:t>
            </w:r>
          </w:p>
        </w:tc>
        <w:tc>
          <w:tcPr>
            <w:tcW w:type="dxa" w:w="36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Важна сложность сделки</w:t>
            </w:r>
          </w:p>
        </w:tc>
      </w:tr>
      <w:tr>
        <w:trPr/>
        <w:tc>
          <w:tcPr>
            <w:tcW w:type="dxa" w:w="22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Жалобы/отписки</w:t>
            </w:r>
          </w:p>
        </w:tc>
        <w:tc>
          <w:tcPr>
            <w:tcW w:type="dxa" w:w="367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Риск давления и нерелевантности</w:t>
            </w:r>
          </w:p>
        </w:tc>
        <w:tc>
          <w:tcPr>
            <w:tcW w:type="dxa" w:w="360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Низкая частота не гарантирует качество</w:t>
            </w:r>
          </w:p>
        </w:tc>
      </w:tr>
      <w:tr>
        <w:trPr/>
        <w:tc>
          <w:tcPr>
            <w:tcW w:type="dxa" w:w="22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Повторные обращения</w:t>
            </w:r>
          </w:p>
        </w:tc>
        <w:tc>
          <w:tcPr>
            <w:tcW w:type="dxa" w:w="367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Долгосрочное доверие</w:t>
            </w:r>
          </w:p>
        </w:tc>
        <w:tc>
          <w:tcPr>
            <w:tcW w:type="dxa" w:w="360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Нужен достаточный период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ПРИЛОЖЕНИЕ 1. ЧЕК-ЛИСТ ПЕРЕД ОТПРАВКОЙ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Цель письма понятна по теме и первому абзацу.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В письме одна основная задача.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Адресат и его контекст учтены.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Факты отделены от оценок и гипотез.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Нет выдуманных цифр, ссылок, кейсов и гарантий.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Обещаны только контролируемые действия.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Указаны следующий шаг и срок.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Нет канцеляризмов и ненужной саморекламы.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Тон уважительный: без давления и заискивания.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Важные данные легко увидеть при сканировании.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Проверены имена, даты, суммы, вложения и ссылки.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☐ Для рискованного содержания выполнена экспертная проверка.</w:t>
      </w:r>
    </w:p>
    <w:p>
      <w:pPr>
        <w:pStyle w:val="Heading1"/>
        <w:keepNext/>
      </w:pPr>
      <w:r>
        <w:t>ПРИЛОЖЕНИЕ 2. СЛОВАРЬ ОСОЗНАННЫХ ЗАМЕН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rPr>
          <w:tblHeader w:val="true"/>
        </w:trPr>
        <w:tc>
          <w:tcPr>
            <w:tcW w:type="dxa" w:w="2232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Фраза</w:t>
            </w:r>
          </w:p>
        </w:tc>
        <w:tc>
          <w:tcPr>
            <w:tcW w:type="dxa" w:w="3168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Проблема</w:t>
            </w:r>
          </w:p>
        </w:tc>
        <w:tc>
          <w:tcPr>
            <w:tcW w:type="dxa" w:w="432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Рабочая замена</w:t>
            </w:r>
          </w:p>
        </w:tc>
      </w:tr>
      <w:tr>
        <w:trPr/>
        <w:tc>
          <w:tcPr>
            <w:tcW w:type="dxa" w:w="22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«Постараюсь»</w:t>
            </w:r>
          </w:p>
        </w:tc>
        <w:tc>
          <w:tcPr>
            <w:tcW w:type="dxa" w:w="316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Нет плана и критерия</w:t>
            </w:r>
          </w:p>
        </w:tc>
        <w:tc>
          <w:tcPr>
            <w:tcW w:type="dxa" w:w="432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«До 17:00 проверю X и сообщу результат»</w:t>
            </w:r>
          </w:p>
        </w:tc>
      </w:tr>
      <w:tr>
        <w:trPr/>
        <w:tc>
          <w:tcPr>
            <w:tcW w:type="dxa" w:w="22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«Наверное»</w:t>
            </w:r>
          </w:p>
        </w:tc>
        <w:tc>
          <w:tcPr>
            <w:tcW w:type="dxa" w:w="316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Неясный статус знания</w:t>
            </w:r>
          </w:p>
        </w:tc>
        <w:tc>
          <w:tcPr>
            <w:tcW w:type="dxa" w:w="432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«Предварительная оценка…; подтвержу после…»</w:t>
            </w:r>
          </w:p>
        </w:tc>
      </w:tr>
      <w:tr>
        <w:trPr/>
        <w:tc>
          <w:tcPr>
            <w:tcW w:type="dxa" w:w="22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«Как-нибудь решим»</w:t>
            </w:r>
          </w:p>
        </w:tc>
        <w:tc>
          <w:tcPr>
            <w:tcW w:type="dxa" w:w="316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Нет действия</w:t>
            </w:r>
          </w:p>
        </w:tc>
        <w:tc>
          <w:tcPr>
            <w:tcW w:type="dxa" w:w="432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«Предлагаю вариант A; первый шаг…»</w:t>
            </w:r>
          </w:p>
        </w:tc>
      </w:tr>
      <w:tr>
        <w:trPr/>
        <w:tc>
          <w:tcPr>
            <w:tcW w:type="dxa" w:w="22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«Я не уверен, но…»</w:t>
            </w:r>
          </w:p>
        </w:tc>
        <w:tc>
          <w:tcPr>
            <w:tcW w:type="dxa" w:w="316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Не ограничена неизвестность</w:t>
            </w:r>
          </w:p>
        </w:tc>
        <w:tc>
          <w:tcPr>
            <w:tcW w:type="dxa" w:w="432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«Это гипотеза. Проверю способом X»</w:t>
            </w:r>
          </w:p>
        </w:tc>
      </w:tr>
      <w:tr>
        <w:trPr/>
        <w:tc>
          <w:tcPr>
            <w:tcW w:type="dxa" w:w="22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«Вам решать»</w:t>
            </w:r>
          </w:p>
        </w:tc>
        <w:tc>
          <w:tcPr>
            <w:tcW w:type="dxa" w:w="316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Снята экспертная роль</w:t>
            </w:r>
          </w:p>
        </w:tc>
        <w:tc>
          <w:tcPr>
            <w:tcW w:type="dxa" w:w="432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«Рекомендую A, потому что…»</w:t>
            </w:r>
          </w:p>
        </w:tc>
      </w:tr>
      <w:tr>
        <w:trPr/>
        <w:tc>
          <w:tcPr>
            <w:tcW w:type="dxa" w:w="22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«К сожалению, не могу»</w:t>
            </w:r>
          </w:p>
        </w:tc>
        <w:tc>
          <w:tcPr>
            <w:tcW w:type="dxa" w:w="316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Тупиковый отказ</w:t>
            </w:r>
          </w:p>
        </w:tc>
        <w:tc>
          <w:tcPr>
            <w:tcW w:type="dxa" w:w="432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«В этих рамках могу предложить…»</w:t>
            </w:r>
          </w:p>
        </w:tc>
      </w:tr>
      <w:tr>
        <w:trPr/>
        <w:tc>
          <w:tcPr>
            <w:tcW w:type="dxa" w:w="2232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«Извините, что беспокою»</w:t>
            </w:r>
          </w:p>
        </w:tc>
        <w:tc>
          <w:tcPr>
            <w:tcW w:type="dxa" w:w="3168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Извинение без нарушения</w:t>
            </w:r>
          </w:p>
        </w:tc>
        <w:tc>
          <w:tcPr>
            <w:tcW w:type="dxa" w:w="432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«Здравствуйте. Нужна ваша оценка…»</w:t>
            </w:r>
          </w:p>
        </w:tc>
      </w:tr>
      <w:tr>
        <w:trPr/>
        <w:tc>
          <w:tcPr>
            <w:tcW w:type="dxa" w:w="2232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«Извините» после ошибки</w:t>
            </w:r>
          </w:p>
        </w:tc>
        <w:tc>
          <w:tcPr>
            <w:tcW w:type="dxa" w:w="3168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Само по себе недостаточно</w:t>
            </w:r>
          </w:p>
        </w:tc>
        <w:tc>
          <w:tcPr>
            <w:tcW w:type="dxa" w:w="432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Признание + последствие + исправление + срок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ПРИЛОЖЕНИЕ 3. ЛИТЕРАТУРА ЗА ПОСЛЕДНИЕ 100 ЛЕТ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rPr>
          <w:tblHeader w:val="true"/>
        </w:trPr>
        <w:tc>
          <w:tcPr>
            <w:tcW w:type="dxa" w:w="2016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Автор</w:t>
            </w:r>
          </w:p>
        </w:tc>
        <w:tc>
          <w:tcPr>
            <w:tcW w:type="dxa" w:w="3384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Работа</w:t>
            </w:r>
          </w:p>
        </w:tc>
        <w:tc>
          <w:tcPr>
            <w:tcW w:type="dxa" w:w="108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Год</w:t>
            </w:r>
          </w:p>
        </w:tc>
        <w:tc>
          <w:tcPr>
            <w:tcW w:type="dxa" w:w="3240"/>
            <w:shd w:fill="1F2A5A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Применение</w:t>
            </w:r>
          </w:p>
        </w:tc>
      </w:tr>
      <w:tr>
        <w:trPr/>
        <w:tc>
          <w:tcPr>
            <w:tcW w:type="dxa" w:w="201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Дейл Карнеги</w:t>
            </w:r>
          </w:p>
        </w:tc>
        <w:tc>
          <w:tcPr>
            <w:tcW w:type="dxa" w:w="33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How to Win Friends and Influence People</w:t>
            </w:r>
          </w:p>
        </w:tc>
        <w:tc>
          <w:tcPr>
            <w:tcW w:type="dxa" w:w="10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1936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Уважение и интерес к собеседнику</w:t>
            </w:r>
          </w:p>
        </w:tc>
      </w:tr>
      <w:tr>
        <w:trPr/>
        <w:tc>
          <w:tcPr>
            <w:tcW w:type="dxa" w:w="201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Джон Кейплз</w:t>
            </w:r>
          </w:p>
        </w:tc>
        <w:tc>
          <w:tcPr>
            <w:tcW w:type="dxa" w:w="33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Tested Advertising Methods</w:t>
            </w:r>
          </w:p>
        </w:tc>
        <w:tc>
          <w:tcPr>
            <w:tcW w:type="dxa" w:w="10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1932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Заголовки и проверка вариантов</w:t>
            </w:r>
          </w:p>
        </w:tc>
      </w:tr>
      <w:tr>
        <w:trPr/>
        <w:tc>
          <w:tcPr>
            <w:tcW w:type="dxa" w:w="201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Уильям Странк, Э. Б. Уайт</w:t>
            </w:r>
          </w:p>
        </w:tc>
        <w:tc>
          <w:tcPr>
            <w:tcW w:type="dxa" w:w="33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The Elements of Style</w:t>
            </w:r>
          </w:p>
        </w:tc>
        <w:tc>
          <w:tcPr>
            <w:tcW w:type="dxa" w:w="10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1959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Ясность и удаление лишних слов</w:t>
            </w:r>
          </w:p>
        </w:tc>
      </w:tr>
      <w:tr>
        <w:trPr/>
        <w:tc>
          <w:tcPr>
            <w:tcW w:type="dxa" w:w="201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Россер Ривз</w:t>
            </w:r>
          </w:p>
        </w:tc>
        <w:tc>
          <w:tcPr>
            <w:tcW w:type="dxa" w:w="33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Reality in Advertising</w:t>
            </w:r>
          </w:p>
        </w:tc>
        <w:tc>
          <w:tcPr>
            <w:tcW w:type="dxa" w:w="10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1961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Одно ценностное предложение</w:t>
            </w:r>
          </w:p>
        </w:tc>
      </w:tr>
      <w:tr>
        <w:trPr/>
        <w:tc>
          <w:tcPr>
            <w:tcW w:type="dxa" w:w="201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Юджин Шварц</w:t>
            </w:r>
          </w:p>
        </w:tc>
        <w:tc>
          <w:tcPr>
            <w:tcW w:type="dxa" w:w="33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Breakthrough Advertising</w:t>
            </w:r>
          </w:p>
        </w:tc>
        <w:tc>
          <w:tcPr>
            <w:tcW w:type="dxa" w:w="10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1966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Уровни осведомлённости клиента</w:t>
            </w:r>
          </w:p>
        </w:tc>
      </w:tr>
      <w:tr>
        <w:trPr/>
        <w:tc>
          <w:tcPr>
            <w:tcW w:type="dxa" w:w="201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Уильям Зинсер</w:t>
            </w:r>
          </w:p>
        </w:tc>
        <w:tc>
          <w:tcPr>
            <w:tcW w:type="dxa" w:w="33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On Writing Well</w:t>
            </w:r>
          </w:p>
        </w:tc>
        <w:tc>
          <w:tcPr>
            <w:tcW w:type="dxa" w:w="10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1976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Чистый человеческий язык</w:t>
            </w:r>
          </w:p>
        </w:tc>
      </w:tr>
      <w:tr>
        <w:trPr/>
        <w:tc>
          <w:tcPr>
            <w:tcW w:type="dxa" w:w="201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Дэвид Огилви</w:t>
            </w:r>
          </w:p>
        </w:tc>
        <w:tc>
          <w:tcPr>
            <w:tcW w:type="dxa" w:w="33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Ogilvy on Advertising</w:t>
            </w:r>
          </w:p>
        </w:tc>
        <w:tc>
          <w:tcPr>
            <w:tcW w:type="dxa" w:w="10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1983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Факты и исследование аудитории</w:t>
            </w:r>
          </w:p>
        </w:tc>
      </w:tr>
      <w:tr>
        <w:trPr/>
        <w:tc>
          <w:tcPr>
            <w:tcW w:type="dxa" w:w="201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Роберт Чалдини</w:t>
            </w:r>
          </w:p>
        </w:tc>
        <w:tc>
          <w:tcPr>
            <w:tcW w:type="dxa" w:w="33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Influence, расширенное изд. 2021</w:t>
            </w:r>
          </w:p>
        </w:tc>
        <w:tc>
          <w:tcPr>
            <w:tcW w:type="dxa" w:w="10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1984/2021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Этичные принципы влияния</w:t>
            </w:r>
          </w:p>
        </w:tc>
      </w:tr>
      <w:tr>
        <w:trPr/>
        <w:tc>
          <w:tcPr>
            <w:tcW w:type="dxa" w:w="201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Роберт Блай</w:t>
            </w:r>
          </w:p>
        </w:tc>
        <w:tc>
          <w:tcPr>
            <w:tcW w:type="dxa" w:w="33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The Copywriter’s Handbook</w:t>
            </w:r>
          </w:p>
        </w:tc>
        <w:tc>
          <w:tcPr>
            <w:tcW w:type="dxa" w:w="10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1985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Оффер, доказательство, действие</w:t>
            </w:r>
          </w:p>
        </w:tc>
      </w:tr>
      <w:tr>
        <w:trPr/>
        <w:tc>
          <w:tcPr>
            <w:tcW w:type="dxa" w:w="201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Барбара Минто</w:t>
            </w:r>
          </w:p>
        </w:tc>
        <w:tc>
          <w:tcPr>
            <w:tcW w:type="dxa" w:w="33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The Pyramid Principle</w:t>
            </w:r>
          </w:p>
        </w:tc>
        <w:tc>
          <w:tcPr>
            <w:tcW w:type="dxa" w:w="10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1987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Вывод прежде аргументов</w:t>
            </w:r>
          </w:p>
        </w:tc>
      </w:tr>
      <w:tr>
        <w:trPr/>
        <w:tc>
          <w:tcPr>
            <w:tcW w:type="dxa" w:w="201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Нил Рэкхэм</w:t>
            </w:r>
          </w:p>
        </w:tc>
        <w:tc>
          <w:tcPr>
            <w:tcW w:type="dxa" w:w="33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SPIN Selling</w:t>
            </w:r>
          </w:p>
        </w:tc>
        <w:tc>
          <w:tcPr>
            <w:tcW w:type="dxa" w:w="10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1988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Диагностика потребности</w:t>
            </w:r>
          </w:p>
        </w:tc>
      </w:tr>
      <w:tr>
        <w:trPr/>
        <w:tc>
          <w:tcPr>
            <w:tcW w:type="dxa" w:w="201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Джозеф Шугерман</w:t>
            </w:r>
          </w:p>
        </w:tc>
        <w:tc>
          <w:tcPr>
            <w:tcW w:type="dxa" w:w="33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The Adweek Copywriting Handbook</w:t>
            </w:r>
          </w:p>
        </w:tc>
        <w:tc>
          <w:tcPr>
            <w:tcW w:type="dxa" w:w="10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2007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Логика убеждающего текста</w:t>
            </w:r>
          </w:p>
        </w:tc>
      </w:tr>
      <w:tr>
        <w:trPr/>
        <w:tc>
          <w:tcPr>
            <w:tcW w:type="dxa" w:w="201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Чип и Дэн Хиз</w:t>
            </w:r>
          </w:p>
        </w:tc>
        <w:tc>
          <w:tcPr>
            <w:tcW w:type="dxa" w:w="33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Made to Stick</w:t>
            </w:r>
          </w:p>
        </w:tc>
        <w:tc>
          <w:tcPr>
            <w:tcW w:type="dxa" w:w="10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2007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Запоминаемость и конкретика</w:t>
            </w:r>
          </w:p>
        </w:tc>
      </w:tr>
      <w:tr>
        <w:trPr/>
        <w:tc>
          <w:tcPr>
            <w:tcW w:type="dxa" w:w="201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Нэнси Дуарте</w:t>
            </w:r>
          </w:p>
        </w:tc>
        <w:tc>
          <w:tcPr>
            <w:tcW w:type="dxa" w:w="33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Resonate</w:t>
            </w:r>
          </w:p>
        </w:tc>
        <w:tc>
          <w:tcPr>
            <w:tcW w:type="dxa" w:w="10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2010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Контраст текущего и желаемого</w:t>
            </w:r>
          </w:p>
        </w:tc>
      </w:tr>
      <w:tr>
        <w:trPr/>
        <w:tc>
          <w:tcPr>
            <w:tcW w:type="dxa" w:w="201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Блэр Эннс</w:t>
            </w:r>
          </w:p>
        </w:tc>
        <w:tc>
          <w:tcPr>
            <w:tcW w:type="dxa" w:w="33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The Win Without Pitching Manifesto</w:t>
            </w:r>
          </w:p>
        </w:tc>
        <w:tc>
          <w:tcPr>
            <w:tcW w:type="dxa" w:w="10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2010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Экспертность без заискивания</w:t>
            </w:r>
          </w:p>
        </w:tc>
      </w:tr>
      <w:tr>
        <w:trPr/>
        <w:tc>
          <w:tcPr>
            <w:tcW w:type="dxa" w:w="201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Мэтью Диксон, Брент Адамсон</w:t>
            </w:r>
          </w:p>
        </w:tc>
        <w:tc>
          <w:tcPr>
            <w:tcW w:type="dxa" w:w="33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The Challenger Sale</w:t>
            </w:r>
          </w:p>
        </w:tc>
        <w:tc>
          <w:tcPr>
            <w:tcW w:type="dxa" w:w="10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2011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Обоснованная рекомендация</w:t>
            </w:r>
          </w:p>
        </w:tc>
      </w:tr>
      <w:tr>
        <w:trPr/>
        <w:tc>
          <w:tcPr>
            <w:tcW w:type="dxa" w:w="201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Крис Восс</w:t>
            </w:r>
          </w:p>
        </w:tc>
        <w:tc>
          <w:tcPr>
            <w:tcW w:type="dxa" w:w="33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Never Split the Difference</w:t>
            </w:r>
          </w:p>
        </w:tc>
        <w:tc>
          <w:tcPr>
            <w:tcW w:type="dxa" w:w="10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2016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Тактическая эмпатия</w:t>
            </w:r>
          </w:p>
        </w:tc>
      </w:tr>
      <w:tr>
        <w:trPr/>
        <w:tc>
          <w:tcPr>
            <w:tcW w:type="dxa" w:w="201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Дональд Миллер</w:t>
            </w:r>
          </w:p>
        </w:tc>
        <w:tc>
          <w:tcPr>
            <w:tcW w:type="dxa" w:w="33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Building a StoryBrand</w:t>
            </w:r>
          </w:p>
        </w:tc>
        <w:tc>
          <w:tcPr>
            <w:tcW w:type="dxa" w:w="10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2017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Клиент как герой</w:t>
            </w:r>
          </w:p>
        </w:tc>
      </w:tr>
      <w:tr>
        <w:trPr/>
        <w:tc>
          <w:tcPr>
            <w:tcW w:type="dxa" w:w="2016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Эйприл Данфорд</w:t>
            </w:r>
          </w:p>
        </w:tc>
        <w:tc>
          <w:tcPr>
            <w:tcW w:type="dxa" w:w="3384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Obviously Awesome</w:t>
            </w:r>
          </w:p>
        </w:tc>
        <w:tc>
          <w:tcPr>
            <w:tcW w:type="dxa" w:w="108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2019</w:t>
            </w:r>
          </w:p>
        </w:tc>
        <w:tc>
          <w:tcPr>
            <w:tcW w:type="dxa" w:w="3240"/>
            <w:shd w:fill="FFFFFF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Контекст и позиционирование</w:t>
            </w:r>
          </w:p>
        </w:tc>
      </w:tr>
      <w:tr>
        <w:trPr/>
        <w:tc>
          <w:tcPr>
            <w:tcW w:type="dxa" w:w="2016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Энн Хэндли</w:t>
            </w:r>
          </w:p>
        </w:tc>
        <w:tc>
          <w:tcPr>
            <w:tcW w:type="dxa" w:w="3384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Everybody Writes, 2nd ed.</w:t>
            </w:r>
          </w:p>
        </w:tc>
        <w:tc>
          <w:tcPr>
            <w:tcW w:type="dxa" w:w="108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2022</w:t>
            </w:r>
          </w:p>
        </w:tc>
        <w:tc>
          <w:tcPr>
            <w:tcW w:type="dxa" w:w="3240"/>
            <w:shd w:fill="F3F5F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2" w:lineRule="auto"/>
            </w:pPr>
            <w:r/>
            <w:r>
              <w:rPr>
                <w:rFonts w:ascii="Aptos" w:hAnsi="Aptos" w:eastAsia="Aptos"/>
                <w:b w:val="0"/>
                <w:i w:val="0"/>
                <w:color w:val="15171A"/>
                <w:sz w:val="18"/>
              </w:rPr>
              <w:t>Современное письмо и AI-контент</w:t>
            </w:r>
          </w:p>
        </w:tc>
      </w:tr>
    </w:tbl>
    <w:p>
      <w:pPr>
        <w:spacing w:after="40"/>
      </w:pPr>
    </w:p>
    <w:p>
      <w:pPr>
        <w:spacing w:after="100" w:line="276" w:lineRule="auto"/>
      </w:pPr>
      <w:r>
        <w:rPr>
          <w:rFonts w:ascii="Aptos" w:hAnsi="Aptos" w:eastAsia="Aptos"/>
          <w:b w:val="0"/>
          <w:i/>
          <w:color w:val="626B78"/>
          <w:sz w:val="18"/>
        </w:rPr>
        <w:t>Историческое примечание: Claude Hopkins, Scientific Advertising (1923) находится вне строгого столетнего окна на дату редакции, но важен как предшественник измеримой рекламы.</w:t>
      </w:r>
    </w:p>
    <w:p>
      <w:pPr>
        <w:pStyle w:val="Heading1"/>
        <w:keepNext/>
      </w:pPr>
      <w:r>
        <w:t>ПРИЛОЖЕНИЕ 4. ИССЛЕДОВАНИЯ, СТАНДАРТЫ И ПЕРИОДИКА</w:t>
      </w:r>
    </w:p>
    <w:p>
      <w:pPr>
        <w:spacing w:after="80"/>
      </w:pPr>
      <w:r>
        <w:rPr>
          <w:rFonts w:ascii="Aptos" w:hAnsi="Aptos" w:eastAsia="Aptos"/>
          <w:b/>
          <w:i w:val="0"/>
          <w:color w:val="1F2A5A"/>
          <w:sz w:val="19"/>
        </w:rPr>
        <w:t xml:space="preserve">ISO 24495-1:2023 — </w:t>
      </w:r>
      <w:r>
        <w:rPr>
          <w:rFonts w:ascii="Aptos" w:hAnsi="Aptos" w:eastAsia="Aptos"/>
          <w:b w:val="0"/>
          <w:i w:val="0"/>
          <w:color w:val="15171A"/>
          <w:sz w:val="19"/>
        </w:rPr>
        <w:t xml:space="preserve">Plain language — Part 1: Governing principles and guidelines. </w:t>
      </w:r>
      <w:hyperlink r:id="rId10">
        <w:r>
          <w:rPr>
            <w:color w:val="365D9D"/>
            <w:u w:val="single"/>
          </w:rPr>
          <w:t>Источник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1F2A5A"/>
          <w:sz w:val="19"/>
        </w:rPr>
        <w:t xml:space="preserve">ISO 24495-2:2025 — </w:t>
      </w:r>
      <w:r>
        <w:rPr>
          <w:rFonts w:ascii="Aptos" w:hAnsi="Aptos" w:eastAsia="Aptos"/>
          <w:b w:val="0"/>
          <w:i w:val="0"/>
          <w:color w:val="15171A"/>
          <w:sz w:val="19"/>
        </w:rPr>
        <w:t xml:space="preserve">Plain language — Part 2: Legal communication. </w:t>
      </w:r>
      <w:hyperlink r:id="rId11">
        <w:r>
          <w:rPr>
            <w:color w:val="365D9D"/>
            <w:u w:val="single"/>
          </w:rPr>
          <w:t>Источник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1F2A5A"/>
          <w:sz w:val="19"/>
        </w:rPr>
        <w:t xml:space="preserve">Digital.gov — </w:t>
      </w:r>
      <w:r>
        <w:rPr>
          <w:rFonts w:ascii="Aptos" w:hAnsi="Aptos" w:eastAsia="Aptos"/>
          <w:b w:val="0"/>
          <w:i w:val="0"/>
          <w:color w:val="15171A"/>
          <w:sz w:val="19"/>
        </w:rPr>
        <w:t xml:space="preserve">Plain Language Guide Series. </w:t>
      </w:r>
      <w:hyperlink r:id="rId12">
        <w:r>
          <w:rPr>
            <w:color w:val="365D9D"/>
            <w:u w:val="single"/>
          </w:rPr>
          <w:t>Источник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1F2A5A"/>
          <w:sz w:val="19"/>
        </w:rPr>
        <w:t xml:space="preserve">Nielsen Norman Group — </w:t>
      </w:r>
      <w:r>
        <w:rPr>
          <w:rFonts w:ascii="Aptos" w:hAnsi="Aptos" w:eastAsia="Aptos"/>
          <w:b w:val="0"/>
          <w:i w:val="0"/>
          <w:color w:val="15171A"/>
          <w:sz w:val="19"/>
        </w:rPr>
        <w:t xml:space="preserve">Concise, Scannable, and Objective. </w:t>
      </w:r>
      <w:hyperlink r:id="rId13">
        <w:r>
          <w:rPr>
            <w:color w:val="365D9D"/>
            <w:u w:val="single"/>
          </w:rPr>
          <w:t>Источник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1F2A5A"/>
          <w:sz w:val="19"/>
        </w:rPr>
        <w:t xml:space="preserve">Mayer, Davis, Schoorman — </w:t>
      </w:r>
      <w:r>
        <w:rPr>
          <w:rFonts w:ascii="Aptos" w:hAnsi="Aptos" w:eastAsia="Aptos"/>
          <w:b w:val="0"/>
          <w:i w:val="0"/>
          <w:color w:val="15171A"/>
          <w:sz w:val="19"/>
        </w:rPr>
        <w:t xml:space="preserve">An Integrative Model of Organizational Trust, 1995. </w:t>
      </w:r>
      <w:hyperlink r:id="rId14">
        <w:r>
          <w:rPr>
            <w:color w:val="365D9D"/>
            <w:u w:val="single"/>
          </w:rPr>
          <w:t>Источник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1F2A5A"/>
          <w:sz w:val="19"/>
        </w:rPr>
        <w:t xml:space="preserve">Kim et al. — </w:t>
      </w:r>
      <w:r>
        <w:rPr>
          <w:rFonts w:ascii="Aptos" w:hAnsi="Aptos" w:eastAsia="Aptos"/>
          <w:b w:val="0"/>
          <w:i w:val="0"/>
          <w:color w:val="15171A"/>
          <w:sz w:val="19"/>
        </w:rPr>
        <w:t xml:space="preserve">Removing the Shadow of Suspicion, 2004. </w:t>
      </w:r>
      <w:hyperlink r:id="rId15">
        <w:r>
          <w:rPr>
            <w:color w:val="365D9D"/>
            <w:u w:val="single"/>
          </w:rPr>
          <w:t>Источник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1F2A5A"/>
          <w:sz w:val="19"/>
        </w:rPr>
        <w:t xml:space="preserve">Petty, Cacioppo — </w:t>
      </w:r>
      <w:r>
        <w:rPr>
          <w:rFonts w:ascii="Aptos" w:hAnsi="Aptos" w:eastAsia="Aptos"/>
          <w:b w:val="0"/>
          <w:i w:val="0"/>
          <w:color w:val="15171A"/>
          <w:sz w:val="19"/>
        </w:rPr>
        <w:t xml:space="preserve">The Elaboration Likelihood Model of Persuasion, 1986. </w:t>
      </w:r>
      <w:hyperlink r:id="rId16">
        <w:r>
          <w:rPr>
            <w:color w:val="365D9D"/>
            <w:u w:val="single"/>
          </w:rPr>
          <w:t>Источник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1F2A5A"/>
          <w:sz w:val="19"/>
        </w:rPr>
        <w:t xml:space="preserve">Kahneman, Tversky — </w:t>
      </w:r>
      <w:r>
        <w:rPr>
          <w:rFonts w:ascii="Aptos" w:hAnsi="Aptos" w:eastAsia="Aptos"/>
          <w:b w:val="0"/>
          <w:i w:val="0"/>
          <w:color w:val="15171A"/>
          <w:sz w:val="19"/>
        </w:rPr>
        <w:t xml:space="preserve">Prospect Theory, 1979. </w:t>
      </w:r>
      <w:hyperlink r:id="rId17">
        <w:r>
          <w:rPr>
            <w:color w:val="365D9D"/>
            <w:u w:val="single"/>
          </w:rPr>
          <w:t>Источник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1F2A5A"/>
          <w:sz w:val="19"/>
        </w:rPr>
        <w:t xml:space="preserve">Harvard Business Review — </w:t>
      </w:r>
      <w:r>
        <w:rPr>
          <w:rFonts w:ascii="Aptos" w:hAnsi="Aptos" w:eastAsia="Aptos"/>
          <w:b w:val="0"/>
          <w:i w:val="0"/>
          <w:color w:val="15171A"/>
          <w:sz w:val="19"/>
        </w:rPr>
        <w:t xml:space="preserve">5 Tips for Writing Professional Emails. </w:t>
      </w:r>
      <w:hyperlink r:id="rId18">
        <w:r>
          <w:rPr>
            <w:color w:val="365D9D"/>
            <w:u w:val="single"/>
          </w:rPr>
          <w:t>Источник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1F2A5A"/>
          <w:sz w:val="19"/>
        </w:rPr>
        <w:t xml:space="preserve">American Marketing Association — </w:t>
      </w:r>
      <w:r>
        <w:rPr>
          <w:rFonts w:ascii="Aptos" w:hAnsi="Aptos" w:eastAsia="Aptos"/>
          <w:b w:val="0"/>
          <w:i w:val="0"/>
          <w:color w:val="15171A"/>
          <w:sz w:val="19"/>
        </w:rPr>
        <w:t xml:space="preserve">Building Consumer Trust Through Tailored Communications. </w:t>
      </w:r>
      <w:hyperlink r:id="rId19">
        <w:r>
          <w:rPr>
            <w:color w:val="365D9D"/>
            <w:u w:val="single"/>
          </w:rPr>
          <w:t>Источник</w:t>
        </w:r>
      </w:hyperlink>
    </w:p>
    <w:p>
      <w:pPr>
        <w:pStyle w:val="Heading2"/>
        <w:keepNext/>
      </w:pPr>
      <w:r>
        <w:t>Периодика для обновления методики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Journal of Marketing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Journal of Consumer Research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Journal of Applied Psychology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Journal of Business and Technical Communication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Business and Professional Communication Quarterly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Harvard Business Review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American Marketing Association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Nielsen Norman Group</w:t>
      </w:r>
    </w:p>
    <w:p>
      <w:pPr>
        <w:pStyle w:val="ListBullet"/>
        <w:spacing w:after="50" w:line="259" w:lineRule="auto"/>
      </w:pPr>
      <w:r>
        <w:rPr>
          <w:rFonts w:ascii="Aptos" w:hAnsi="Aptos" w:eastAsia="Aptos"/>
          <w:b w:val="0"/>
          <w:i w:val="0"/>
          <w:color w:val="15171A"/>
          <w:sz w:val="20"/>
        </w:rPr>
        <w:t>Content Marketing Institute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FFF1E2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F28C28"/>
                <w:sz w:val="20"/>
              </w:rPr>
              <w:t>Правило обновления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Практические публикации используются для примеров. Выводы об эффективности, психологии и доверии проверяются по стандартам и первичным исследованиям. Дата, выборка и ограничения источника фиксируются.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Заключение</w:t>
      </w:r>
    </w:p>
    <w:p>
      <w:pPr>
        <w:spacing w:after="100" w:line="276" w:lineRule="auto"/>
      </w:pPr>
      <w:r>
        <w:rPr>
          <w:rFonts w:ascii="Aptos" w:hAnsi="Aptos" w:eastAsia="Aptos"/>
          <w:b w:val="0"/>
          <w:i w:val="0"/>
          <w:color w:val="15171A"/>
          <w:sz w:val="21"/>
        </w:rPr>
        <w:t>Профессиональное письмо не должно изображать абсолютную уверенность. Его задача — сделать ситуацию понятнее, показать качество мышления автора и привести стороны к проверяемому следующему шагу.</w:t>
      </w:r>
    </w:p>
    <w:p>
      <w:pPr>
        <w:spacing w:after="100" w:line="276" w:lineRule="auto"/>
      </w:pPr>
      <w:r>
        <w:rPr>
          <w:rFonts w:ascii="Aptos" w:hAnsi="Aptos" w:eastAsia="Aptos"/>
          <w:b/>
          <w:i w:val="0"/>
          <w:color w:val="1F2A5A"/>
          <w:sz w:val="21"/>
        </w:rPr>
        <w:t>Сильная коммуникация</w:t>
      </w:r>
      <w:r>
        <w:rPr>
          <w:rFonts w:ascii="Aptos" w:hAnsi="Aptos" w:eastAsia="Aptos"/>
          <w:b w:val="0"/>
          <w:i w:val="0"/>
          <w:color w:val="1F2A5A"/>
          <w:sz w:val="21"/>
        </w:rPr>
        <w:t xml:space="preserve"> соединяет пять элементов: ясный смысл, уважение к адресату, проверяемые основания, ответственное обязательство и удобное действие. Если один из элементов отсутствует, громкие формулировки доверие не восстановят.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/>
        <w:tc>
          <w:tcPr>
            <w:tcW w:type="dxa" w:w="9792"/>
            <w:shd w:fill="FFF1E2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F28C28"/>
                <w:sz w:val="20"/>
              </w:rPr>
              <w:t>Итоговая формула</w:t>
            </w:r>
          </w:p>
          <w:p>
            <w:pPr>
              <w:spacing w:after="0" w:line="264" w:lineRule="auto"/>
            </w:pPr>
            <w:r>
              <w:rPr>
                <w:rFonts w:ascii="Aptos" w:hAnsi="Aptos" w:eastAsia="Aptos"/>
                <w:b w:val="0"/>
                <w:i w:val="0"/>
                <w:color w:val="15171A"/>
                <w:sz w:val="20"/>
              </w:rPr>
              <w:t>Ясность + доказательства + границы уверенности + ответственность + следующий шаг = доверие, которое выдерживает проверку.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headerReference w:type="default" r:id="rId20"/>
      <w:pgSz w:w="12240" w:h="15840"/>
      <w:pgMar w:top="1123" w:right="1224" w:bottom="1037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i w:val="0"/>
        <w:color w:val="626B78"/>
        <w:sz w:val="16"/>
      </w:rPr>
      <w:t xml:space="preserve">Степанов Д.А. | Деловые и продающие письма | 24.08.2026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i w:val="0"/>
        <w:color w:val="626B78"/>
        <w:sz w:val="15"/>
      </w:rPr>
      <w:t>МЕТОДИЧЕСКОЕ РУКОВОДСТВО  |  СТЕПАНОВ Д.А.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color w:val="1517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2A5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365D9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213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/>
    </w:pPr>
    <w:rPr>
      <w:rFonts w:ascii="Aptos" w:hAnsi="Aptos"/>
      <w:b/>
      <w:color w:val="F28C28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iso.org/standard/78907.html" TargetMode="External"/><Relationship Id="rId11" Type="http://schemas.openxmlformats.org/officeDocument/2006/relationships/hyperlink" Target="https://www.iso.org/standard/85774.html" TargetMode="External"/><Relationship Id="rId12" Type="http://schemas.openxmlformats.org/officeDocument/2006/relationships/hyperlink" Target="https://www.plainlanguage.gov/" TargetMode="External"/><Relationship Id="rId13" Type="http://schemas.openxmlformats.org/officeDocument/2006/relationships/hyperlink" Target="https://www.nngroup.com/articles/concise-scannable-and-objective-how-to-write-for-the-web/" TargetMode="External"/><Relationship Id="rId14" Type="http://schemas.openxmlformats.org/officeDocument/2006/relationships/hyperlink" Target="https://www.jstor.org/stable/258792" TargetMode="External"/><Relationship Id="rId15" Type="http://schemas.openxmlformats.org/officeDocument/2006/relationships/hyperlink" Target="https://pubmed.ncbi.nlm.nih.gov/14769123/" TargetMode="External"/><Relationship Id="rId16" Type="http://schemas.openxmlformats.org/officeDocument/2006/relationships/hyperlink" Target="https://link.springer.com/chapter/10.1007/978-1-4612-4964-1_1" TargetMode="External"/><Relationship Id="rId17" Type="http://schemas.openxmlformats.org/officeDocument/2006/relationships/hyperlink" Target="https://kahneman.scholar.princeton.edu/document/11" TargetMode="External"/><Relationship Id="rId18" Type="http://schemas.openxmlformats.org/officeDocument/2006/relationships/hyperlink" Target="https://hbr.org/2022/08/5-tips-for-writing-professional-emails" TargetMode="External"/><Relationship Id="rId19" Type="http://schemas.openxmlformats.org/officeDocument/2006/relationships/hyperlink" Target="https://www.ama.org/research-insights/research-insight-building-consumer-trust-through-tailored-communications/" TargetMode="External"/><Relationship Id="rId2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Деловые и продающие письма</dc:title>
  <dc:subject>Методическое руководство по ясной, убедительной и ответственной переписке</dc:subject>
  <dc:creator>Степанов Д.А.</dc:creator>
  <cp:keywords>деловая переписка, продающие письма, доверие, ясный язык, AI</cp:keywords>
  <dc:description>Редакция от 24.08.2026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