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360"/>
        <w:jc w:val="center"/>
      </w:pPr>
      <w:r>
        <w:rPr>
          <w:rFonts w:ascii="Aptos" w:hAnsi="Aptos" w:eastAsia="Aptos"/>
          <w:b/>
          <w:color w:val="F97316"/>
          <w:sz w:val="20"/>
        </w:rPr>
        <w:t>ПРАКТИЧЕСКАЯ МЕТОДИЧКА</w:t>
      </w:r>
    </w:p>
    <w:p>
      <w:pPr>
        <w:spacing w:after="200"/>
        <w:jc w:val="center"/>
      </w:pPr>
      <w:r>
        <w:rPr>
          <w:rFonts w:ascii="Aptos Display" w:hAnsi="Aptos Display" w:eastAsia="Aptos Display"/>
          <w:b/>
          <w:color w:val="1E1B4B"/>
          <w:sz w:val="56"/>
        </w:rPr>
        <w:t>Как создать личный бренд</w:t>
      </w:r>
    </w:p>
    <w:p>
      <w:pPr>
        <w:spacing w:after="520"/>
        <w:jc w:val="center"/>
        <w:pBdr>
          <w:bottom w:val="single" w:sz="16" w:space="12" w:color="F97316"/>
        </w:pBdr>
      </w:pPr>
      <w:r>
        <w:rPr>
          <w:rFonts w:ascii="Aptos" w:hAnsi="Aptos" w:eastAsia="Aptos"/>
          <w:color w:val="312E81"/>
          <w:sz w:val="28"/>
        </w:rPr>
        <w:t>От фактов и позиционирования до контента, доверия и измерения результата</w:t>
      </w:r>
    </w:p>
    <w:p>
      <w:pPr>
        <w:spacing w:after="200"/>
      </w:pPr>
    </w:p>
    <w:p>
      <w:pPr>
        <w:spacing w:after="200"/>
      </w:pPr>
    </w:p>
    <w:p>
      <w:pPr>
        <w:spacing w:after="200"/>
      </w:pPr>
    </w:p>
    <w:p>
      <w:pPr>
        <w:spacing w:after="200"/>
      </w:pPr>
    </w:p>
    <w:p>
      <w:pPr>
        <w:spacing w:after="200"/>
      </w:pPr>
    </w:p>
    <w:p>
      <w:pPr>
        <w:jc w:val="center"/>
      </w:pPr>
      <w:r>
        <w:rPr>
          <w:rFonts w:ascii="Aptos" w:hAnsi="Aptos" w:eastAsia="Aptos"/>
          <w:b/>
          <w:color w:val="0F172A"/>
          <w:sz w:val="24"/>
        </w:rPr>
        <w:t>Степанов Дмитрий Александрович</w:t>
      </w:r>
    </w:p>
    <w:p>
      <w:pPr>
        <w:jc w:val="center"/>
      </w:pPr>
      <w:r>
        <w:rPr>
          <w:rFonts w:ascii="Aptos" w:hAnsi="Aptos" w:eastAsia="Aptos"/>
          <w:i/>
          <w:color w:val="64748B"/>
          <w:sz w:val="21"/>
        </w:rPr>
        <w:t>Рабочая система для экспертов, предпринимателей и специалистов</w:t>
      </w:r>
    </w:p>
    <w:p>
      <w:pPr>
        <w:jc w:val="center"/>
      </w:pPr>
      <w:r>
        <w:rPr>
          <w:rFonts w:ascii="Aptos" w:hAnsi="Aptos" w:eastAsia="Aptos"/>
          <w:color w:val="64748B"/>
          <w:sz w:val="20"/>
        </w:rPr>
        <w:t>19 августа 2026 года</w:t>
      </w:r>
    </w:p>
    <w:p>
      <w:r>
        <w:br w:type="page"/>
      </w:r>
    </w:p>
    <w:p>
      <w:pPr>
        <w:spacing w:before="140" w:after="180"/>
        <w:ind w:left="259" w:right="173"/>
        <w:shd w:fill="FFF7ED"/>
        <w:pBdr>
          <w:start w:val="single" w:sz="18" w:space="7" w:color="F97316"/>
        </w:pBdr>
      </w:pPr>
      <w:r>
        <w:rPr>
          <w:rFonts w:ascii="Aptos" w:hAnsi="Aptos" w:eastAsia="Aptos"/>
          <w:b/>
          <w:color w:val="1E1B4B"/>
          <w:sz w:val="22"/>
        </w:rPr>
        <w:t xml:space="preserve">Главный принцип: </w:t>
      </w:r>
      <w:r>
        <w:rPr>
          <w:rFonts w:ascii="Aptos" w:hAnsi="Aptos" w:eastAsia="Aptos"/>
          <w:color w:val="0F172A"/>
          <w:sz w:val="22"/>
        </w:rPr>
        <w:t>Личный бренд — не то, что человек говорит о себе, а устойчивая ассоциация, которую подтверждают его действия, результаты и поведение.</w:t>
      </w:r>
    </w:p>
    <w:p>
      <w:pPr>
        <w:pStyle w:val="Heading1"/>
      </w:pPr>
      <w:r>
        <w:t>Введение</w:t>
      </w:r>
    </w:p>
    <w:p>
      <w:r>
        <w:rPr>
          <w:rFonts w:ascii="Aptos" w:hAnsi="Aptos" w:eastAsia="Aptos"/>
          <w:color w:val="0F172A"/>
          <w:sz w:val="22"/>
        </w:rPr>
        <w:t>Методичка объединяет классическую теорию бренда, современные модели позиционирования, исследования личного брендинга и практику экспертного контента. Её задача — помочь сформировать не набор лозунгов, а проверяемую профессиональную репутацию.</w:t>
      </w:r>
    </w:p>
    <w:p>
      <w:r>
        <w:rPr>
          <w:rFonts w:ascii="Aptos" w:hAnsi="Aptos" w:eastAsia="Aptos"/>
          <w:color w:val="0F172A"/>
          <w:sz w:val="22"/>
        </w:rPr>
        <w:t>Метод применим к консультантам, разработчикам, руководителям, преподавателям, предпринимателям, представителям творческих и профессиональных услуг.</w:t>
      </w:r>
    </w:p>
    <w:p>
      <w:pPr>
        <w:pStyle w:val="Heading1"/>
      </w:pPr>
      <w:r>
        <w:t>1. Что такое личный бренд</w:t>
      </w:r>
    </w:p>
    <w:p>
      <w:r>
        <w:rPr>
          <w:rFonts w:ascii="Aptos" w:hAnsi="Aptos" w:eastAsia="Aptos"/>
          <w:color w:val="0F172A"/>
          <w:sz w:val="22"/>
        </w:rPr>
        <w:t>Личный бренд — это система ожиданий и ассоциаций, возникающих у выбранной аудитории в отношении специалиста. Он включает компетентность, профессиональную позицию, характер взаимодействия, доказательства и узнаваемые сигналы.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Личный бренд — это</w:t>
            </w:r>
          </w:p>
        </w:tc>
        <w:tc>
          <w:tcPr>
            <w:tcW w:type="dxa" w:w="468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Личный бренд — это не</w:t>
            </w:r>
          </w:p>
        </w:tc>
      </w:tr>
      <w:tr>
        <w:tc>
          <w:tcPr>
            <w:tcW w:type="dxa" w:w="46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Понятная профессиональная специализация</w:t>
            </w:r>
          </w:p>
        </w:tc>
        <w:tc>
          <w:tcPr>
            <w:tcW w:type="dxa" w:w="46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Красивый аватар и набор цветов</w:t>
            </w:r>
          </w:p>
        </w:tc>
      </w:tr>
      <w:tr>
        <w:tc>
          <w:tcPr>
            <w:tcW w:type="dxa" w:w="46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Подтверждённая ценность для аудитории</w:t>
            </w:r>
          </w:p>
        </w:tc>
        <w:tc>
          <w:tcPr>
            <w:tcW w:type="dxa" w:w="46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Постоянное самовосхваление</w:t>
            </w:r>
          </w:p>
        </w:tc>
      </w:tr>
      <w:tr>
        <w:tc>
          <w:tcPr>
            <w:tcW w:type="dxa" w:w="46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Последовательное поведение</w:t>
            </w:r>
          </w:p>
        </w:tc>
        <w:tc>
          <w:tcPr>
            <w:tcW w:type="dxa" w:w="46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Разовая рекламная кампания</w:t>
            </w:r>
          </w:p>
        </w:tc>
      </w:tr>
      <w:tr>
        <w:tc>
          <w:tcPr>
            <w:tcW w:type="dxa" w:w="46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Доказательства и общественное признание</w:t>
            </w:r>
          </w:p>
        </w:tc>
        <w:tc>
          <w:tcPr>
            <w:tcW w:type="dxa" w:w="468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Количество подписчиков само по себе</w:t>
            </w:r>
          </w:p>
        </w:tc>
      </w:tr>
      <w:tr>
        <w:tc>
          <w:tcPr>
            <w:tcW w:type="dxa" w:w="46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Система доверия</w:t>
            </w:r>
          </w:p>
        </w:tc>
        <w:tc>
          <w:tcPr>
            <w:tcW w:type="dxa" w:w="46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Обещание без проверки</w:t>
            </w:r>
          </w:p>
        </w:tc>
      </w:tr>
    </w:tbl>
    <w:p>
      <w:pPr>
        <w:spacing w:after="20"/>
      </w:pPr>
    </w:p>
    <w:p>
      <w:r>
        <w:rPr>
          <w:rFonts w:ascii="Aptos" w:hAnsi="Aptos" w:eastAsia="Aptos"/>
          <w:color w:val="0F172A"/>
          <w:sz w:val="22"/>
        </w:rPr>
        <w:t>Исследования Gorbatov и соавторов связывают личный брендинг с воспринимаемой востребованностью специалиста. При этом самопрезентация без реальной компетентности и последовательного поведения не формирует устойчивого доверия.</w:t>
      </w:r>
    </w:p>
    <w:p>
      <w:pPr>
        <w:pStyle w:val="Heading1"/>
      </w:pPr>
      <w:r>
        <w:t>2. Архитектура метода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Инвентаризация фактов и ограничений.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Выбор аудитории и решаемой задачи.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Формирование позиционирования.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Создание идентичности и обещания.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Сбор доказательств и продуктовой линейки.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Разработка сообщений и визуальных сигналов.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Публикация экспертного контента.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Измерение результата и корректировка бренда.</w:t>
      </w:r>
    </w:p>
    <w:p>
      <w:pPr>
        <w:spacing w:before="140" w:after="180"/>
        <w:ind w:left="259" w:right="173"/>
        <w:shd w:fill="E8EEF5"/>
        <w:pBdr>
          <w:start w:val="single" w:sz="18" w:space="7" w:color="312E81"/>
        </w:pBdr>
      </w:pPr>
      <w:r>
        <w:rPr>
          <w:rFonts w:ascii="Aptos" w:hAnsi="Aptos" w:eastAsia="Aptos"/>
          <w:b/>
          <w:color w:val="1E1B4B"/>
          <w:sz w:val="22"/>
        </w:rPr>
        <w:t xml:space="preserve">Порядок: </w:t>
      </w:r>
      <w:r>
        <w:rPr>
          <w:rFonts w:ascii="Aptos" w:hAnsi="Aptos" w:eastAsia="Aptos"/>
          <w:color w:val="0F172A"/>
          <w:sz w:val="22"/>
        </w:rPr>
        <w:t>Нельзя начинать с логотипа и контент-плана, пока не определены аудитория, ценность, отличие и доказательства.</w:t>
      </w:r>
    </w:p>
    <w:p>
      <w:pPr>
        <w:pStyle w:val="Heading1"/>
      </w:pPr>
      <w:r>
        <w:t>3. Этап 1. Инвентаризация фактов</w:t>
      </w:r>
    </w:p>
    <w:p>
      <w:r>
        <w:rPr>
          <w:rFonts w:ascii="Aptos" w:hAnsi="Aptos" w:eastAsia="Aptos"/>
          <w:color w:val="0F172A"/>
          <w:sz w:val="22"/>
        </w:rPr>
        <w:t>Цель этапа — отделить подтверждённую текущую компетентность от планируемого развития. Это защищает бренд от завышенных обещаний.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3900"/>
        <w:gridCol w:w="3960"/>
      </w:tblGrid>
      <w:tr>
        <w:trPr>
          <w:tblHeader w:val="true"/>
        </w:trPr>
        <w:tc>
          <w:tcPr>
            <w:tcW w:type="dxa" w:w="15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39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Что относится</w:t>
            </w:r>
          </w:p>
        </w:tc>
        <w:tc>
          <w:tcPr>
            <w:tcW w:type="dxa" w:w="396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Как использовать</w:t>
            </w:r>
          </w:p>
        </w:tc>
      </w:tr>
      <w:tr>
        <w:tc>
          <w:tcPr>
            <w:tcW w:type="dxa" w:w="1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Факт</w:t>
            </w:r>
          </w:p>
        </w:tc>
        <w:tc>
          <w:tcPr>
            <w:tcW w:type="dxa" w:w="39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Завершённая работа, демонстрация, сертификат, отзыв</w:t>
            </w:r>
          </w:p>
        </w:tc>
        <w:tc>
          <w:tcPr>
            <w:tcW w:type="dxa" w:w="3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Можно использовать как доказательство</w:t>
            </w:r>
          </w:p>
        </w:tc>
      </w:tr>
      <w:tr>
        <w:tc>
          <w:tcPr>
            <w:tcW w:type="dxa" w:w="15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План</w:t>
            </w:r>
          </w:p>
        </w:tc>
        <w:tc>
          <w:tcPr>
            <w:tcW w:type="dxa" w:w="3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Навык или продукт, который только осваивается</w:t>
            </w:r>
          </w:p>
        </w:tc>
        <w:tc>
          <w:tcPr>
            <w:tcW w:type="dxa" w:w="39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Показывать как направление развития</w:t>
            </w:r>
          </w:p>
        </w:tc>
      </w:tr>
      <w:tr>
        <w:tc>
          <w:tcPr>
            <w:tcW w:type="dxa" w:w="1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Гипотеза</w:t>
            </w:r>
          </w:p>
        </w:tc>
        <w:tc>
          <w:tcPr>
            <w:tcW w:type="dxa" w:w="39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Предполагаемая потребность или результат</w:t>
            </w:r>
          </w:p>
        </w:tc>
        <w:tc>
          <w:tcPr>
            <w:tcW w:type="dxa" w:w="3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Проверять на аудитории</w:t>
            </w:r>
          </w:p>
        </w:tc>
      </w:tr>
      <w:tr>
        <w:tc>
          <w:tcPr>
            <w:tcW w:type="dxa" w:w="15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Неизвестно</w:t>
            </w:r>
          </w:p>
        </w:tc>
        <w:tc>
          <w:tcPr>
            <w:tcW w:type="dxa" w:w="39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Нет данных или подтверждения</w:t>
            </w:r>
          </w:p>
        </w:tc>
        <w:tc>
          <w:tcPr>
            <w:tcW w:type="dxa" w:w="39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Не включать в обещание</w:t>
            </w:r>
          </w:p>
        </w:tc>
      </w:tr>
    </w:tbl>
    <w:p>
      <w:pPr>
        <w:spacing w:after="20"/>
      </w:pPr>
    </w:p>
    <w:p>
      <w:pPr>
        <w:pStyle w:val="Heading2"/>
      </w:pPr>
      <w:r>
        <w:t>Рабочие вопросы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Какие задачи я действительно умею выполнять самостоятельно?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Какие проекты можно показать без нарушения конфиденциальности?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Какие результаты подтверждаются цифрами, тестами, отзывами или артефактами?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Какие ограничения я обязан сообщать клиенту?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Какие утверждения пока являются только целью?</w:t>
      </w:r>
    </w:p>
    <w:p>
      <w:pPr>
        <w:pStyle w:val="Heading1"/>
      </w:pPr>
      <w:r>
        <w:t>4. Этап 2. Аудитория и работа клиента</w:t>
      </w:r>
    </w:p>
    <w:p>
      <w:r>
        <w:rPr>
          <w:rFonts w:ascii="Aptos" w:hAnsi="Aptos" w:eastAsia="Aptos"/>
          <w:color w:val="0F172A"/>
          <w:sz w:val="22"/>
        </w:rPr>
        <w:t>Сильный бренд не пытается быть полезным всем. Аудитория выбирается не только по профессии или возрасту, а по задаче, которую человек хочет решить.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160"/>
      </w:tblGrid>
      <w:tr>
        <w:trPr>
          <w:tblHeader w:val="true"/>
        </w:trPr>
        <w:tc>
          <w:tcPr>
            <w:tcW w:type="dxa" w:w="22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16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Шаблон</w:t>
            </w:r>
          </w:p>
        </w:tc>
      </w:tr>
      <w:tr>
        <w:tc>
          <w:tcPr>
            <w:tcW w:type="dxa" w:w="2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Кто</w:t>
            </w:r>
          </w:p>
        </w:tc>
        <w:tc>
          <w:tcPr>
            <w:tcW w:type="dxa" w:w="7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Конкретная роль покупателя или заказчика</w:t>
            </w:r>
          </w:p>
        </w:tc>
      </w:tr>
      <w:tr>
        <w:tc>
          <w:tcPr>
            <w:tcW w:type="dxa" w:w="22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Ситуация</w:t>
            </w:r>
          </w:p>
        </w:tc>
        <w:tc>
          <w:tcPr>
            <w:tcW w:type="dxa" w:w="71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Когда и почему возникает потребность</w:t>
            </w:r>
          </w:p>
        </w:tc>
      </w:tr>
      <w:tr>
        <w:tc>
          <w:tcPr>
            <w:tcW w:type="dxa" w:w="2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Задача</w:t>
            </w:r>
          </w:p>
        </w:tc>
        <w:tc>
          <w:tcPr>
            <w:tcW w:type="dxa" w:w="7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Какой результат человек хочет получить</w:t>
            </w:r>
          </w:p>
        </w:tc>
      </w:tr>
      <w:tr>
        <w:tc>
          <w:tcPr>
            <w:tcW w:type="dxa" w:w="22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Альтернатива</w:t>
            </w:r>
          </w:p>
        </w:tc>
        <w:tc>
          <w:tcPr>
            <w:tcW w:type="dxa" w:w="71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Как задача решается сейчас</w:t>
            </w:r>
          </w:p>
        </w:tc>
      </w:tr>
      <w:tr>
        <w:tc>
          <w:tcPr>
            <w:tcW w:type="dxa" w:w="2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Риск</w:t>
            </w:r>
          </w:p>
        </w:tc>
        <w:tc>
          <w:tcPr>
            <w:tcW w:type="dxa" w:w="7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Что мешает довериться специалисту</w:t>
            </w:r>
          </w:p>
        </w:tc>
      </w:tr>
      <w:tr>
        <w:tc>
          <w:tcPr>
            <w:tcW w:type="dxa" w:w="22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Критерий выбора</w:t>
            </w:r>
          </w:p>
        </w:tc>
        <w:tc>
          <w:tcPr>
            <w:tcW w:type="dxa" w:w="71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 каким признакам принимается решение</w:t>
            </w:r>
          </w:p>
        </w:tc>
      </w:tr>
    </w:tbl>
    <w:p>
      <w:pPr>
        <w:spacing w:after="20"/>
      </w:pPr>
    </w:p>
    <w:p>
      <w:pPr>
        <w:spacing w:before="140" w:after="180"/>
        <w:ind w:left="259" w:right="173"/>
        <w:shd w:fill="E8EEF5"/>
        <w:pBdr>
          <w:start w:val="single" w:sz="18" w:space="7" w:color="312E81"/>
        </w:pBdr>
      </w:pPr>
      <w:r>
        <w:rPr>
          <w:rFonts w:ascii="Aptos" w:hAnsi="Aptos" w:eastAsia="Aptos"/>
          <w:b/>
          <w:color w:val="1E1B4B"/>
          <w:sz w:val="22"/>
        </w:rPr>
        <w:t xml:space="preserve">Практическое правило: </w:t>
      </w:r>
      <w:r>
        <w:rPr>
          <w:rFonts w:ascii="Aptos" w:hAnsi="Aptos" w:eastAsia="Aptos"/>
          <w:color w:val="0F172A"/>
          <w:sz w:val="22"/>
        </w:rPr>
        <w:t>На старте выбирайте один основной сегмент и один дополнительный. Остальные аудитории не запрещаются, но не управляют главными сообщениями бренда.</w:t>
      </w:r>
    </w:p>
    <w:p>
      <w:pPr>
        <w:pStyle w:val="Heading1"/>
      </w:pPr>
      <w:r>
        <w:t>5. Этап 3. Позиционирование</w:t>
      </w:r>
    </w:p>
    <w:p>
      <w:r>
        <w:rPr>
          <w:rFonts w:ascii="Aptos" w:hAnsi="Aptos" w:eastAsia="Aptos"/>
          <w:color w:val="0F172A"/>
          <w:sz w:val="22"/>
        </w:rPr>
        <w:t>Метод April Dunford предлагает рассматривать позиционирование через пять взаимосвязанных элементов.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Конкурентные альтернативы: что аудитория сделает, если не выберет вас.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Уникальные свойства: компетенции, опыт, метод, доступ или формат работы.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Ценность: практический результат этих свойств для аудитории.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Лучший сегмент: кто ценит указанное отличие сильнее остальных.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Категория: понятное название профессионального поля, в котором вас сравнивают.</w:t>
      </w:r>
    </w:p>
    <w:p>
      <w:pPr>
        <w:pStyle w:val="Heading2"/>
      </w:pPr>
      <w:r>
        <w:t>Формула позиционирования</w:t>
      </w:r>
    </w:p>
    <w:p>
      <w:pPr>
        <w:spacing w:before="140" w:after="180"/>
        <w:ind w:left="259" w:right="173"/>
        <w:shd w:fill="FFF7ED"/>
        <w:pBdr>
          <w:start w:val="single" w:sz="18" w:space="7" w:color="F97316"/>
        </w:pBdr>
      </w:pPr>
      <w:r>
        <w:rPr>
          <w:rFonts w:ascii="Aptos" w:hAnsi="Aptos" w:eastAsia="Aptos"/>
          <w:b/>
          <w:color w:val="1E1B4B"/>
          <w:sz w:val="22"/>
        </w:rPr>
        <w:t xml:space="preserve">Шаблон: </w:t>
      </w:r>
      <w:r>
        <w:rPr>
          <w:rFonts w:ascii="Aptos" w:hAnsi="Aptos" w:eastAsia="Aptos"/>
          <w:color w:val="0F172A"/>
          <w:sz w:val="22"/>
        </w:rPr>
        <w:t>Для [целевой аудитории], которая хочет [результат], я — [профессиональная категория], который помогает [ценность] благодаря [отличительный метод и доказательства]. В отличие от [альтернативы], я [существенное отличие].</w:t>
      </w:r>
    </w:p>
    <w:p>
      <w:pPr>
        <w:pStyle w:val="Heading2"/>
      </w:pPr>
      <w:r>
        <w:t>Проверка позиционирования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Понятно ли оно человеку вне вашей отрасли?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Описывает ли оно ценность, а не список технологий?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Можно ли подтвердить заявленное отличие?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Привлекает ли оно нужного клиента и отсекает ли неподходящего?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Остаётся ли формулировка правдивой без превосходной степени?</w:t>
      </w:r>
    </w:p>
    <w:p>
      <w:pPr>
        <w:pStyle w:val="Heading1"/>
      </w:pPr>
      <w:r>
        <w:t>6. Этап 4. Идентичность бренда</w:t>
      </w:r>
    </w:p>
    <w:p>
      <w:r>
        <w:rPr>
          <w:rFonts w:ascii="Aptos" w:hAnsi="Aptos" w:eastAsia="Aptos"/>
          <w:color w:val="0F172A"/>
          <w:sz w:val="22"/>
        </w:rPr>
        <w:t>David Aaker рассматривает бренд как сочетание продукта, организации, личности и символа. Jean-Noël Kapferer предлагает проверять согласованность внешних и внутренних граней идентичности. Для личного бренда удобно использовать следующую карту.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Грань</w:t>
            </w:r>
          </w:p>
        </w:tc>
        <w:tc>
          <w:tcPr>
            <w:tcW w:type="dxa" w:w="686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Вопрос</w:t>
            </w:r>
          </w:p>
        </w:tc>
      </w:tr>
      <w:tr>
        <w:tc>
          <w:tcPr>
            <w:tcW w:type="dxa" w:w="2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Компетенция</w:t>
            </w:r>
          </w:p>
        </w:tc>
        <w:tc>
          <w:tcPr>
            <w:tcW w:type="dxa" w:w="68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Что человек действительно умеет делать?</w:t>
            </w:r>
          </w:p>
        </w:tc>
      </w:tr>
      <w:tr>
        <w:tc>
          <w:tcPr>
            <w:tcW w:type="dxa" w:w="25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Характер</w:t>
            </w:r>
          </w:p>
        </w:tc>
        <w:tc>
          <w:tcPr>
            <w:tcW w:type="dxa" w:w="68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Как он ведёт себя в работе и коммуникации?</w:t>
            </w:r>
          </w:p>
        </w:tc>
      </w:tr>
      <w:tr>
        <w:tc>
          <w:tcPr>
            <w:tcW w:type="dxa" w:w="2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Культура</w:t>
            </w:r>
          </w:p>
        </w:tc>
        <w:tc>
          <w:tcPr>
            <w:tcW w:type="dxa" w:w="68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Какие принципы нельзя нарушать ради продажи?</w:t>
            </w:r>
          </w:p>
        </w:tc>
      </w:tr>
      <w:tr>
        <w:tc>
          <w:tcPr>
            <w:tcW w:type="dxa" w:w="25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Отношения</w:t>
            </w:r>
          </w:p>
        </w:tc>
        <w:tc>
          <w:tcPr>
            <w:tcW w:type="dxa" w:w="68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Какой опыт взаимодействия получает клиент?</w:t>
            </w:r>
          </w:p>
        </w:tc>
      </w:tr>
      <w:tr>
        <w:tc>
          <w:tcPr>
            <w:tcW w:type="dxa" w:w="2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Образ аудитории</w:t>
            </w:r>
          </w:p>
        </w:tc>
        <w:tc>
          <w:tcPr>
            <w:tcW w:type="dxa" w:w="68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Каким человеком хочет быть клиент рядом с этим брендом?</w:t>
            </w:r>
          </w:p>
        </w:tc>
      </w:tr>
      <w:tr>
        <w:tc>
          <w:tcPr>
            <w:tcW w:type="dxa" w:w="25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Самовосприятие</w:t>
            </w:r>
          </w:p>
        </w:tc>
        <w:tc>
          <w:tcPr>
            <w:tcW w:type="dxa" w:w="68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Какую профессиональную роль человек принимает сам?</w:t>
            </w:r>
          </w:p>
        </w:tc>
      </w:tr>
      <w:tr>
        <w:tc>
          <w:tcPr>
            <w:tcW w:type="dxa" w:w="2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Символы</w:t>
            </w:r>
          </w:p>
        </w:tc>
        <w:tc>
          <w:tcPr>
            <w:tcW w:type="dxa" w:w="68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Какие слова, цвета и образы помогают узнавать бренд?</w:t>
            </w:r>
          </w:p>
        </w:tc>
      </w:tr>
    </w:tbl>
    <w:p>
      <w:pPr>
        <w:spacing w:after="20"/>
      </w:pPr>
    </w:p>
    <w:p>
      <w:pPr>
        <w:spacing w:before="140" w:after="180"/>
        <w:ind w:left="259" w:right="173"/>
        <w:shd w:fill="E8EEF5"/>
        <w:pBdr>
          <w:start w:val="single" w:sz="18" w:space="7" w:color="312E81"/>
        </w:pBdr>
      </w:pPr>
      <w:r>
        <w:rPr>
          <w:rFonts w:ascii="Aptos" w:hAnsi="Aptos" w:eastAsia="Aptos"/>
          <w:b/>
          <w:color w:val="1E1B4B"/>
          <w:sz w:val="22"/>
        </w:rPr>
        <w:t xml:space="preserve">Критерий: </w:t>
      </w:r>
      <w:r>
        <w:rPr>
          <w:rFonts w:ascii="Aptos" w:hAnsi="Aptos" w:eastAsia="Aptos"/>
          <w:color w:val="0F172A"/>
          <w:sz w:val="22"/>
        </w:rPr>
        <w:t>Все грани должны поддерживать одно позиционирование. Инженерный бренд не должен одновременно обещать прозрачность и продавать «необъяснимую магию».</w:t>
      </w:r>
    </w:p>
    <w:p>
      <w:pPr>
        <w:pStyle w:val="Heading1"/>
      </w:pPr>
      <w:r>
        <w:t>7. Этап 5. Обещание и доказательства</w:t>
      </w:r>
    </w:p>
    <w:p>
      <w:r>
        <w:rPr>
          <w:rFonts w:ascii="Aptos" w:hAnsi="Aptos" w:eastAsia="Aptos"/>
          <w:color w:val="0F172A"/>
          <w:sz w:val="22"/>
        </w:rPr>
        <w:t>Обещание бренда описывает повторяемую ценность, которую специалист способен контролировать. Оно не должно зависеть полностью от рекламы клиента, состояния рынка или работы третьих лиц.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200"/>
        <w:gridCol w:w="5160"/>
      </w:tblGrid>
      <w:tr>
        <w:trPr>
          <w:tblHeader w:val="true"/>
        </w:trPr>
        <w:tc>
          <w:tcPr>
            <w:tcW w:type="dxa" w:w="42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Слабое обещание</w:t>
            </w:r>
          </w:p>
        </w:tc>
        <w:tc>
          <w:tcPr>
            <w:tcW w:type="dxa" w:w="516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Сильное обещание</w:t>
            </w:r>
          </w:p>
        </w:tc>
      </w:tr>
      <w:tr>
        <w:tc>
          <w:tcPr>
            <w:tcW w:type="dxa" w:w="4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Увеличу продажи в два раза</w:t>
            </w:r>
          </w:p>
        </w:tc>
        <w:tc>
          <w:tcPr>
            <w:tcW w:type="dxa" w:w="5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Настрою измеряемую систему обработки заявок</w:t>
            </w:r>
          </w:p>
        </w:tc>
      </w:tr>
      <w:tr>
        <w:tc>
          <w:tcPr>
            <w:tcW w:type="dxa" w:w="42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Гарантирую окупаемость</w:t>
            </w:r>
          </w:p>
        </w:tc>
        <w:tc>
          <w:tcPr>
            <w:tcW w:type="dxa" w:w="51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Зафиксирую критерии пилота и способ оценки</w:t>
            </w:r>
          </w:p>
        </w:tc>
      </w:tr>
      <w:tr>
        <w:tc>
          <w:tcPr>
            <w:tcW w:type="dxa" w:w="4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Заменю весь отдел</w:t>
            </w:r>
          </w:p>
        </w:tc>
        <w:tc>
          <w:tcPr>
            <w:tcW w:type="dxa" w:w="5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Автоматизирую выбранные повторяемые операции</w:t>
            </w:r>
          </w:p>
        </w:tc>
      </w:tr>
      <w:tr>
        <w:tc>
          <w:tcPr>
            <w:tcW w:type="dxa" w:w="42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Лучший специалист</w:t>
            </w:r>
          </w:p>
        </w:tc>
        <w:tc>
          <w:tcPr>
            <w:tcW w:type="dxa" w:w="51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Покажу метод, проекты, ограничения и результаты проверки</w:t>
            </w:r>
          </w:p>
        </w:tc>
      </w:tr>
    </w:tbl>
    <w:p>
      <w:pPr>
        <w:spacing w:after="20"/>
      </w:pPr>
    </w:p>
    <w:p>
      <w:pPr>
        <w:pStyle w:val="Heading2"/>
      </w:pPr>
      <w:r>
        <w:t>Лестница доказательств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Артефакт: код, прототип, макет, документ, схема или демонстрация.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Проверка: тесты, контрольные запросы, чек-листы и сравнение версий.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Результат: измеримое изменение процесса или бизнес-показателя.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Подтверждение: отзыв, рекомендация, публичный кейс или повторный заказ.</w:t>
      </w:r>
    </w:p>
    <w:p>
      <w:pPr>
        <w:pStyle w:val="ListNumber"/>
        <w:keepLines/>
      </w:pPr>
      <w:r>
        <w:rPr>
          <w:rFonts w:ascii="Aptos" w:hAnsi="Aptos" w:eastAsia="Aptos"/>
          <w:color w:val="0F172A"/>
          <w:sz w:val="22"/>
        </w:rPr>
        <w:t>Репутация: независимые упоминания, партнёрства и признание профессионального сообщества.</w:t>
      </w:r>
    </w:p>
    <w:p>
      <w:pPr>
        <w:pStyle w:val="Heading1"/>
      </w:pPr>
      <w:r>
        <w:t>8. Этап 6. Продуктовая система</w:t>
      </w:r>
    </w:p>
    <w:p>
      <w:r>
        <w:rPr>
          <w:rFonts w:ascii="Aptos" w:hAnsi="Aptos" w:eastAsia="Aptos"/>
          <w:color w:val="0F172A"/>
          <w:sz w:val="22"/>
        </w:rPr>
        <w:t>Личный бренд должен вести к понятному способу сотрудничества. Услуги лучше организовать как последовательность с постепенным снижением риска для клиента.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3000"/>
        <w:gridCol w:w="4860"/>
      </w:tblGrid>
      <w:tr>
        <w:trPr>
          <w:tblHeader w:val="true"/>
        </w:trPr>
        <w:tc>
          <w:tcPr>
            <w:tcW w:type="dxa" w:w="15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Уровень</w:t>
            </w:r>
          </w:p>
        </w:tc>
        <w:tc>
          <w:tcPr>
            <w:tcW w:type="dxa" w:w="30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Назначение</w:t>
            </w:r>
          </w:p>
        </w:tc>
        <w:tc>
          <w:tcPr>
            <w:tcW w:type="dxa" w:w="486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Пример</w:t>
            </w:r>
          </w:p>
        </w:tc>
      </w:tr>
      <w:tr>
        <w:tc>
          <w:tcPr>
            <w:tcW w:type="dxa" w:w="1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Вход</w:t>
            </w:r>
          </w:p>
        </w:tc>
        <w:tc>
          <w:tcPr>
            <w:tcW w:type="dxa" w:w="30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Низкий риск знакомства</w:t>
            </w:r>
          </w:p>
        </w:tc>
        <w:tc>
          <w:tcPr>
            <w:tcW w:type="dxa" w:w="48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Диагностика, аудит, консультация</w:t>
            </w:r>
          </w:p>
        </w:tc>
      </w:tr>
      <w:tr>
        <w:tc>
          <w:tcPr>
            <w:tcW w:type="dxa" w:w="15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Пилот</w:t>
            </w:r>
          </w:p>
        </w:tc>
        <w:tc>
          <w:tcPr>
            <w:tcW w:type="dxa" w:w="30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Проверка главной гипотезы</w:t>
            </w:r>
          </w:p>
        </w:tc>
        <w:tc>
          <w:tcPr>
            <w:tcW w:type="dxa" w:w="48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Прототип, исследование, тестовая кампания</w:t>
            </w:r>
          </w:p>
        </w:tc>
      </w:tr>
      <w:tr>
        <w:tc>
          <w:tcPr>
            <w:tcW w:type="dxa" w:w="1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Основной продукт</w:t>
            </w:r>
          </w:p>
        </w:tc>
        <w:tc>
          <w:tcPr>
            <w:tcW w:type="dxa" w:w="30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Полное решение выбранной задачи</w:t>
            </w:r>
          </w:p>
        </w:tc>
        <w:tc>
          <w:tcPr>
            <w:tcW w:type="dxa" w:w="48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Внедрение, проект, программа</w:t>
            </w:r>
          </w:p>
        </w:tc>
      </w:tr>
      <w:tr>
        <w:tc>
          <w:tcPr>
            <w:tcW w:type="dxa" w:w="15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Развитие</w:t>
            </w:r>
          </w:p>
        </w:tc>
        <w:tc>
          <w:tcPr>
            <w:tcW w:type="dxa" w:w="30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Продолжение ценности</w:t>
            </w:r>
          </w:p>
        </w:tc>
        <w:tc>
          <w:tcPr>
            <w:tcW w:type="dxa" w:w="48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Поддержка, аналитика, обучение, новые модули</w:t>
            </w:r>
          </w:p>
        </w:tc>
      </w:tr>
    </w:tbl>
    <w:p>
      <w:pPr>
        <w:spacing w:after="20"/>
      </w:pPr>
    </w:p>
    <w:p>
      <w:pPr>
        <w:spacing w:before="140" w:after="180"/>
        <w:ind w:left="259" w:right="173"/>
        <w:shd w:fill="E8EEF5"/>
        <w:pBdr>
          <w:start w:val="single" w:sz="18" w:space="7" w:color="312E81"/>
        </w:pBdr>
      </w:pPr>
      <w:r>
        <w:rPr>
          <w:rFonts w:ascii="Aptos" w:hAnsi="Aptos" w:eastAsia="Aptos"/>
          <w:b/>
          <w:color w:val="1E1B4B"/>
          <w:sz w:val="22"/>
        </w:rPr>
        <w:t xml:space="preserve">Правило упаковки: </w:t>
      </w:r>
      <w:r>
        <w:rPr>
          <w:rFonts w:ascii="Aptos" w:hAnsi="Aptos" w:eastAsia="Aptos"/>
          <w:color w:val="0F172A"/>
          <w:sz w:val="22"/>
        </w:rPr>
        <w:t>Каждая услуга должна содержать входные данные, результат, границы, критерии готовности, срок, ответственность клиента и порядок изменений.</w:t>
      </w:r>
    </w:p>
    <w:p>
      <w:pPr>
        <w:pStyle w:val="Heading1"/>
      </w:pPr>
      <w:r>
        <w:t>9. Этап 7. Система сообщений</w:t>
      </w:r>
    </w:p>
    <w:p>
      <w:r>
        <w:rPr>
          <w:rFonts w:ascii="Aptos" w:hAnsi="Aptos" w:eastAsia="Aptos"/>
          <w:color w:val="0F172A"/>
          <w:sz w:val="22"/>
        </w:rPr>
        <w:t>Kevin Lane Keller описывает развитие бренда от узнаваемости к смыслу, реакции и устойчивым отношениям. Коммуникация должна последовательно отвечать на четыре вопроса аудитории.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2700"/>
        <w:gridCol w:w="4960"/>
      </w:tblGrid>
      <w:tr>
        <w:trPr>
          <w:tblHeader w:val="true"/>
        </w:trPr>
        <w:tc>
          <w:tcPr>
            <w:tcW w:type="dxa" w:w="17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Уровень</w:t>
            </w:r>
          </w:p>
        </w:tc>
        <w:tc>
          <w:tcPr>
            <w:tcW w:type="dxa" w:w="27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Вопрос аудитории</w:t>
            </w:r>
          </w:p>
        </w:tc>
        <w:tc>
          <w:tcPr>
            <w:tcW w:type="dxa" w:w="496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Сообщение</w:t>
            </w:r>
          </w:p>
        </w:tc>
      </w:tr>
      <w:tr>
        <w:tc>
          <w:tcPr>
            <w:tcW w:type="dxa" w:w="17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Узнаваемость</w:t>
            </w:r>
          </w:p>
        </w:tc>
        <w:tc>
          <w:tcPr>
            <w:tcW w:type="dxa" w:w="27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Кто вы?</w:t>
            </w:r>
          </w:p>
        </w:tc>
        <w:tc>
          <w:tcPr>
            <w:tcW w:type="dxa" w:w="4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Роль и профессиональная категория</w:t>
            </w:r>
          </w:p>
        </w:tc>
      </w:tr>
      <w:tr>
        <w:tc>
          <w:tcPr>
            <w:tcW w:type="dxa" w:w="17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Смысл</w:t>
            </w:r>
          </w:p>
        </w:tc>
        <w:tc>
          <w:tcPr>
            <w:tcW w:type="dxa" w:w="27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Что вы делаете?</w:t>
            </w:r>
          </w:p>
        </w:tc>
        <w:tc>
          <w:tcPr>
            <w:tcW w:type="dxa" w:w="49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Задачи, метод и компетенции</w:t>
            </w:r>
          </w:p>
        </w:tc>
      </w:tr>
      <w:tr>
        <w:tc>
          <w:tcPr>
            <w:tcW w:type="dxa" w:w="17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Оценка</w:t>
            </w:r>
          </w:p>
        </w:tc>
        <w:tc>
          <w:tcPr>
            <w:tcW w:type="dxa" w:w="27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Почему вам доверять?</w:t>
            </w:r>
          </w:p>
        </w:tc>
        <w:tc>
          <w:tcPr>
            <w:tcW w:type="dxa" w:w="4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Доказательства, ограничения и отзывы</w:t>
            </w:r>
          </w:p>
        </w:tc>
      </w:tr>
      <w:tr>
        <w:tc>
          <w:tcPr>
            <w:tcW w:type="dxa" w:w="17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Отношения</w:t>
            </w:r>
          </w:p>
        </w:tc>
        <w:tc>
          <w:tcPr>
            <w:tcW w:type="dxa" w:w="27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Почему возвращаться?</w:t>
            </w:r>
          </w:p>
        </w:tc>
        <w:tc>
          <w:tcPr>
            <w:tcW w:type="dxa" w:w="49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Последовательный опыт и развитие результата</w:t>
            </w:r>
          </w:p>
        </w:tc>
      </w:tr>
    </w:tbl>
    <w:p>
      <w:pPr>
        <w:spacing w:after="20"/>
      </w:pPr>
    </w:p>
    <w:p>
      <w:pPr>
        <w:pStyle w:val="Heading2"/>
      </w:pPr>
      <w:r>
        <w:t>Минимальный набор текстов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одна строка позиционирования;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абзац для профиля;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раздел «Обо мне»;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описание основной услуги;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три доказательства компетентности;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описание метода работы;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призыв к следующему конкретному действию.</w:t>
      </w:r>
    </w:p>
    <w:p>
      <w:pPr>
        <w:pStyle w:val="Heading1"/>
      </w:pPr>
      <w:r>
        <w:t>10. Этап 8. Визуальная узнаваемость</w:t>
      </w:r>
    </w:p>
    <w:p>
      <w:r>
        <w:rPr>
          <w:rFonts w:ascii="Aptos" w:hAnsi="Aptos" w:eastAsia="Aptos"/>
          <w:color w:val="0F172A"/>
          <w:sz w:val="22"/>
        </w:rPr>
        <w:t>Byron Sharp показывает значение ментальной доступности и отличительных элементов. В личном бренде визуальная система нужна не ради украшения, а для быстрого узнавания автора в разных каналах.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один основной и один акцентный цвет;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одинаковая логика обложек и схем;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стабильная фотография или иллюстративный образ;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один графический мотив;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последовательное оформление сайта, презентаций и социальных сетей;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доступность: читаемый контраст, крупный текст и понятная структура.</w:t>
      </w:r>
    </w:p>
    <w:p>
      <w:pPr>
        <w:spacing w:before="140" w:after="180"/>
        <w:ind w:left="259" w:right="173"/>
        <w:shd w:fill="E8EEF5"/>
        <w:pBdr>
          <w:start w:val="single" w:sz="18" w:space="7" w:color="312E81"/>
        </w:pBdr>
      </w:pPr>
      <w:r>
        <w:rPr>
          <w:rFonts w:ascii="Aptos" w:hAnsi="Aptos" w:eastAsia="Aptos"/>
          <w:b/>
          <w:color w:val="1E1B4B"/>
          <w:sz w:val="22"/>
        </w:rPr>
        <w:t xml:space="preserve">Ограничение: </w:t>
      </w:r>
      <w:r>
        <w:rPr>
          <w:rFonts w:ascii="Aptos" w:hAnsi="Aptos" w:eastAsia="Aptos"/>
          <w:color w:val="0F172A"/>
          <w:sz w:val="22"/>
        </w:rPr>
        <w:t>Необходимо отличать узнаваемость от декоративности. Тотемы, архетипы и маскоты допустимы, только если не противоречат ожиданиям выбранной аудитории.</w:t>
      </w:r>
    </w:p>
    <w:p>
      <w:pPr>
        <w:pStyle w:val="Heading1"/>
      </w:pPr>
      <w:r>
        <w:t>11. Этап 9. Экспертность и контент</w:t>
      </w:r>
    </w:p>
    <w:p>
      <w:r>
        <w:rPr>
          <w:rFonts w:ascii="Aptos" w:hAnsi="Aptos" w:eastAsia="Aptos"/>
          <w:color w:val="0F172A"/>
          <w:sz w:val="22"/>
        </w:rPr>
        <w:t>Dorie Clark связывает узнаваемость эксперта с собственной идеей, доказательствами и профессиональными связями. Mark Schaefer рекомендует занять определённое смысловое пространство и системно поддерживать его контентом. Austin Kleon предлагает показывать не только итог, но и процесс работы.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2600"/>
        <w:gridCol w:w="4960"/>
      </w:tblGrid>
      <w:tr>
        <w:trPr>
          <w:tblHeader w:val="true"/>
        </w:trPr>
        <w:tc>
          <w:tcPr>
            <w:tcW w:type="dxa" w:w="18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Контент</w:t>
            </w:r>
          </w:p>
        </w:tc>
        <w:tc>
          <w:tcPr>
            <w:tcW w:type="dxa" w:w="26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Задача</w:t>
            </w:r>
          </w:p>
        </w:tc>
        <w:tc>
          <w:tcPr>
            <w:tcW w:type="dxa" w:w="496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Пример</w:t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Обучающий</w:t>
            </w:r>
          </w:p>
        </w:tc>
        <w:tc>
          <w:tcPr>
            <w:tcW w:type="dxa" w:w="2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Показать компетентность</w:t>
            </w:r>
          </w:p>
        </w:tc>
        <w:tc>
          <w:tcPr>
            <w:tcW w:type="dxa" w:w="4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Разбор метода или инструмента</w:t>
            </w:r>
          </w:p>
        </w:tc>
      </w:tr>
      <w:tr>
        <w:tc>
          <w:tcPr>
            <w:tcW w:type="dxa" w:w="18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Процесс</w:t>
            </w:r>
          </w:p>
        </w:tc>
        <w:tc>
          <w:tcPr>
            <w:tcW w:type="dxa" w:w="26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Показать способ мышления</w:t>
            </w:r>
          </w:p>
        </w:tc>
        <w:tc>
          <w:tcPr>
            <w:tcW w:type="dxa" w:w="49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Решение, ошибка, проверка и вывод</w:t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Кейс</w:t>
            </w:r>
          </w:p>
        </w:tc>
        <w:tc>
          <w:tcPr>
            <w:tcW w:type="dxa" w:w="2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Подтвердить ценность</w:t>
            </w:r>
          </w:p>
        </w:tc>
        <w:tc>
          <w:tcPr>
            <w:tcW w:type="dxa" w:w="4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Задача → решение → результат → ограничение</w:t>
            </w:r>
          </w:p>
        </w:tc>
      </w:tr>
      <w:tr>
        <w:tc>
          <w:tcPr>
            <w:tcW w:type="dxa" w:w="18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Позиция</w:t>
            </w:r>
          </w:p>
        </w:tc>
        <w:tc>
          <w:tcPr>
            <w:tcW w:type="dxa" w:w="26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Создать узнаваемую идею</w:t>
            </w:r>
          </w:p>
        </w:tc>
        <w:tc>
          <w:tcPr>
            <w:tcW w:type="dxa" w:w="49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Аргументированное мнение по отраслевой проблеме</w:t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Человеческий</w:t>
            </w:r>
          </w:p>
        </w:tc>
        <w:tc>
          <w:tcPr>
            <w:tcW w:type="dxa" w:w="2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Показать характер</w:t>
            </w:r>
          </w:p>
        </w:tc>
        <w:tc>
          <w:tcPr>
            <w:tcW w:type="dxa" w:w="4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Принципы, выбор и профессиональный путь</w:t>
            </w:r>
          </w:p>
        </w:tc>
      </w:tr>
    </w:tbl>
    <w:p>
      <w:pPr>
        <w:spacing w:after="20"/>
      </w:pPr>
    </w:p>
    <w:p>
      <w:pPr>
        <w:spacing w:before="140" w:after="180"/>
        <w:ind w:left="259" w:right="173"/>
        <w:shd w:fill="FFF7ED"/>
        <w:pBdr>
          <w:start w:val="single" w:sz="18" w:space="7" w:color="F97316"/>
        </w:pBdr>
      </w:pPr>
      <w:r>
        <w:rPr>
          <w:rFonts w:ascii="Aptos" w:hAnsi="Aptos" w:eastAsia="Aptos"/>
          <w:b/>
          <w:color w:val="1E1B4B"/>
          <w:sz w:val="22"/>
        </w:rPr>
        <w:t xml:space="preserve">Формула поста: </w:t>
      </w:r>
      <w:r>
        <w:rPr>
          <w:rFonts w:ascii="Aptos" w:hAnsi="Aptos" w:eastAsia="Aptos"/>
          <w:color w:val="0F172A"/>
          <w:sz w:val="22"/>
        </w:rPr>
        <w:t>Проблема → наблюдение → решение → доказательство → ограничение → практический вывод.</w:t>
      </w:r>
    </w:p>
    <w:p>
      <w:r>
        <w:rPr>
          <w:rFonts w:ascii="Aptos" w:hAnsi="Aptos" w:eastAsia="Aptos"/>
          <w:color w:val="0F172A"/>
          <w:sz w:val="22"/>
        </w:rPr>
        <w:t>Для старта достаточно двух содержательных публикаций в неделю. Частота увеличивается только после появления устойчивого процесса подготовки и оценки качества.</w:t>
      </w:r>
    </w:p>
    <w:p>
      <w:pPr>
        <w:pStyle w:val="Heading1"/>
      </w:pPr>
      <w:r>
        <w:t>12. Этап 10. Каналы и распространение</w:t>
      </w:r>
    </w:p>
    <w:p>
      <w:r>
        <w:rPr>
          <w:rFonts w:ascii="Aptos" w:hAnsi="Aptos" w:eastAsia="Aptos"/>
          <w:color w:val="0F172A"/>
          <w:sz w:val="22"/>
        </w:rPr>
        <w:t>Контент становится активом бренда, когда регулярно достигает нужной аудитории. Исследования Edelman и LinkedIn показывают значимость качественного thought leadership для оценки компетентности B2B-поставщика.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</w:trPr>
        <w:tc>
          <w:tcPr>
            <w:tcW w:type="dxa" w:w="26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Канал</w:t>
            </w:r>
          </w:p>
        </w:tc>
        <w:tc>
          <w:tcPr>
            <w:tcW w:type="dxa" w:w="676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Роль</w:t>
            </w:r>
          </w:p>
        </w:tc>
      </w:tr>
      <w:tr>
        <w:tc>
          <w:tcPr>
            <w:tcW w:type="dxa" w:w="2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Сайт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Главная точка позиционирования, услуг и доказательств</w:t>
            </w:r>
          </w:p>
        </w:tc>
      </w:tr>
      <w:tr>
        <w:tc>
          <w:tcPr>
            <w:tcW w:type="dxa" w:w="26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Профессиональная сеть</w:t>
            </w:r>
          </w:p>
        </w:tc>
        <w:tc>
          <w:tcPr>
            <w:tcW w:type="dxa" w:w="67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Контакты, экспертные публикации и рекомендации</w:t>
            </w:r>
          </w:p>
        </w:tc>
      </w:tr>
      <w:tr>
        <w:tc>
          <w:tcPr>
            <w:tcW w:type="dxa" w:w="2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Telegram или блог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Регулярный контакт с заинтересованной аудиторией</w:t>
            </w:r>
          </w:p>
        </w:tc>
      </w:tr>
      <w:tr>
        <w:tc>
          <w:tcPr>
            <w:tcW w:type="dxa" w:w="26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GitHub / портфолио</w:t>
            </w:r>
          </w:p>
        </w:tc>
        <w:tc>
          <w:tcPr>
            <w:tcW w:type="dxa" w:w="67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Артефакты, документация и демонстрации</w:t>
            </w:r>
          </w:p>
        </w:tc>
      </w:tr>
      <w:tr>
        <w:tc>
          <w:tcPr>
            <w:tcW w:type="dxa" w:w="26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Выступления и сообщества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Независимое подтверждение и профессиональные связи</w:t>
            </w:r>
          </w:p>
        </w:tc>
      </w:tr>
    </w:tbl>
    <w:p>
      <w:pPr>
        <w:spacing w:after="20"/>
      </w:pPr>
    </w:p>
    <w:p>
      <w:pPr>
        <w:spacing w:before="140" w:after="180"/>
        <w:ind w:left="259" w:right="173"/>
        <w:shd w:fill="E8EEF5"/>
        <w:pBdr>
          <w:start w:val="single" w:sz="18" w:space="7" w:color="312E81"/>
        </w:pBdr>
      </w:pPr>
      <w:r>
        <w:rPr>
          <w:rFonts w:ascii="Aptos" w:hAnsi="Aptos" w:eastAsia="Aptos"/>
          <w:b/>
          <w:color w:val="1E1B4B"/>
          <w:sz w:val="22"/>
        </w:rPr>
        <w:t xml:space="preserve">Правило: </w:t>
      </w:r>
      <w:r>
        <w:rPr>
          <w:rFonts w:ascii="Aptos" w:hAnsi="Aptos" w:eastAsia="Aptos"/>
          <w:color w:val="0F172A"/>
          <w:sz w:val="22"/>
        </w:rPr>
        <w:t>Сначала создайте один основной канал и одно хранилище доказательств. Расширение на новые площадки не должно разрушать регулярность и качество.</w:t>
      </w:r>
    </w:p>
    <w:p>
      <w:pPr>
        <w:pStyle w:val="Heading1"/>
      </w:pPr>
      <w:r>
        <w:t>13. Измерение личного бренда</w:t>
      </w:r>
    </w:p>
    <w:p>
      <w:r>
        <w:rPr>
          <w:rFonts w:ascii="Aptos" w:hAnsi="Aptos" w:eastAsia="Aptos"/>
          <w:color w:val="0F172A"/>
          <w:sz w:val="22"/>
        </w:rPr>
        <w:t>Охваты и подписчики являются промежуточными сигналами. Главные метрики должны показывать изменение доверия, качества аудитории и коммерческих возможностей.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160"/>
      </w:tblGrid>
      <w:tr>
        <w:trPr>
          <w:tblHeader w:val="true"/>
        </w:trPr>
        <w:tc>
          <w:tcPr>
            <w:tcW w:type="dxa" w:w="22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Уровень</w:t>
            </w:r>
          </w:p>
        </w:tc>
        <w:tc>
          <w:tcPr>
            <w:tcW w:type="dxa" w:w="716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Метрики</w:t>
            </w:r>
          </w:p>
        </w:tc>
      </w:tr>
      <w:tr>
        <w:tc>
          <w:tcPr>
            <w:tcW w:type="dxa" w:w="2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Видимость</w:t>
            </w:r>
          </w:p>
        </w:tc>
        <w:tc>
          <w:tcPr>
            <w:tcW w:type="dxa" w:w="7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Охват целевой аудитории, прямые переходы, брендовые запросы</w:t>
            </w:r>
          </w:p>
        </w:tc>
      </w:tr>
      <w:tr>
        <w:tc>
          <w:tcPr>
            <w:tcW w:type="dxa" w:w="22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Доверие</w:t>
            </w:r>
          </w:p>
        </w:tc>
        <w:tc>
          <w:tcPr>
            <w:tcW w:type="dxa" w:w="71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Сохранения, содержательные ответы, рекомендации, приглашения</w:t>
            </w:r>
          </w:p>
        </w:tc>
      </w:tr>
      <w:tr>
        <w:tc>
          <w:tcPr>
            <w:tcW w:type="dxa" w:w="2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Спрос</w:t>
            </w:r>
          </w:p>
        </w:tc>
        <w:tc>
          <w:tcPr>
            <w:tcW w:type="dxa" w:w="7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Целевые обращения, консультации, запросы предложений</w:t>
            </w:r>
          </w:p>
        </w:tc>
      </w:tr>
      <w:tr>
        <w:tc>
          <w:tcPr>
            <w:tcW w:type="dxa" w:w="22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Конверсия</w:t>
            </w:r>
          </w:p>
        </w:tc>
        <w:tc>
          <w:tcPr>
            <w:tcW w:type="dxa" w:w="71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Доля обращений, переходящих в пилот или заказ</w:t>
            </w:r>
          </w:p>
        </w:tc>
      </w:tr>
      <w:tr>
        <w:tc>
          <w:tcPr>
            <w:tcW w:type="dxa" w:w="2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Качество</w:t>
            </w:r>
          </w:p>
        </w:tc>
        <w:tc>
          <w:tcPr>
            <w:tcW w:type="dxa" w:w="7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Соответствие клиентов выбранному сегменту и позиционированию</w:t>
            </w:r>
          </w:p>
        </w:tc>
      </w:tr>
      <w:tr>
        <w:tc>
          <w:tcPr>
            <w:tcW w:type="dxa" w:w="22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Устойчивость</w:t>
            </w:r>
          </w:p>
        </w:tc>
        <w:tc>
          <w:tcPr>
            <w:tcW w:type="dxa" w:w="71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Повторные обращения, рекомендации и развитие сотрудничества</w:t>
            </w:r>
          </w:p>
        </w:tc>
      </w:tr>
    </w:tbl>
    <w:p>
      <w:pPr>
        <w:spacing w:after="20"/>
      </w:pPr>
    </w:p>
    <w:p>
      <w:pPr>
        <w:pStyle w:val="Heading2"/>
      </w:pPr>
      <w:r>
        <w:t>Ежемесячный обзор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Какие темы привлекли нужную аудиторию?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Какие доказательства вызвали доверие?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Какие обращения соответствовали позиционированию?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Какие обещания оказались непонятными или недостоверными?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Что следует усилить, прекратить или протестировать в следующем месяце?</w:t>
      </w:r>
    </w:p>
    <w:p>
      <w:pPr>
        <w:pStyle w:val="Heading1"/>
      </w:pPr>
      <w:r>
        <w:t>14. План запуска на 30 дней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5000"/>
        <w:gridCol w:w="2960"/>
      </w:tblGrid>
      <w:tr>
        <w:trPr>
          <w:tblHeader w:val="true"/>
        </w:trPr>
        <w:tc>
          <w:tcPr>
            <w:tcW w:type="dxa" w:w="14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Период</w:t>
            </w:r>
          </w:p>
        </w:tc>
        <w:tc>
          <w:tcPr>
            <w:tcW w:type="dxa" w:w="500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Действия</w:t>
            </w:r>
          </w:p>
        </w:tc>
        <w:tc>
          <w:tcPr>
            <w:tcW w:type="dxa" w:w="2960"/>
            <w:shd w:fill="312E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FFFFFF"/>
                <w:sz w:val="19"/>
              </w:rPr>
              <w:t>Результат</w:t>
            </w:r>
          </w:p>
        </w:tc>
      </w:tr>
      <w:tr>
        <w:tc>
          <w:tcPr>
            <w:tcW w:type="dxa" w:w="14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Дни 1–7</w:t>
            </w:r>
          </w:p>
        </w:tc>
        <w:tc>
          <w:tcPr>
            <w:tcW w:type="dxa" w:w="50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Аудит фактов, выбор аудитории, интервью с 3–5 представителями</w:t>
            </w:r>
          </w:p>
        </w:tc>
        <w:tc>
          <w:tcPr>
            <w:tcW w:type="dxa" w:w="2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Карта доказательств и задач аудитории</w:t>
            </w:r>
          </w:p>
        </w:tc>
      </w:tr>
      <w:tr>
        <w:tc>
          <w:tcPr>
            <w:tcW w:type="dxa" w:w="14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Дни 8–14</w:t>
            </w:r>
          </w:p>
        </w:tc>
        <w:tc>
          <w:tcPr>
            <w:tcW w:type="dxa" w:w="50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Позиционирование, обещание, продуктовая линейка</w:t>
            </w:r>
          </w:p>
        </w:tc>
        <w:tc>
          <w:tcPr>
            <w:tcW w:type="dxa" w:w="29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Черновик бренд-платформы</w:t>
            </w:r>
          </w:p>
        </w:tc>
      </w:tr>
      <w:tr>
        <w:tc>
          <w:tcPr>
            <w:tcW w:type="dxa" w:w="14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Дни 15–21</w:t>
            </w:r>
          </w:p>
        </w:tc>
        <w:tc>
          <w:tcPr>
            <w:tcW w:type="dxa" w:w="50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Профили, сайт, портфолио и визуальные элементы</w:t>
            </w:r>
          </w:p>
        </w:tc>
        <w:tc>
          <w:tcPr>
            <w:tcW w:type="dxa" w:w="2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Единая упаковка основных каналов</w:t>
            </w:r>
          </w:p>
        </w:tc>
      </w:tr>
      <w:tr>
        <w:tc>
          <w:tcPr>
            <w:tcW w:type="dxa" w:w="14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Дни 22–30</w:t>
            </w:r>
          </w:p>
        </w:tc>
        <w:tc>
          <w:tcPr>
            <w:tcW w:type="dxa" w:w="500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Четыре публикации, один кейс, сбор обратной связи</w:t>
            </w:r>
          </w:p>
        </w:tc>
        <w:tc>
          <w:tcPr>
            <w:tcW w:type="dxa" w:w="2960"/>
            <w:shd w:fill="F8FA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CBD5E1"/>
              <w:start w:val="single" w:sz="6" w:color="CBD5E1"/>
              <w:bottom w:val="single" w:sz="6" w:color="CBD5E1"/>
              <w:end w:val="single" w:sz="6" w:color="CBD5E1"/>
              <w:insideH w:val="single" w:sz="6" w:color="CBD5E1"/>
              <w:insideV w:val="single" w:sz="6" w:color="CBD5E1"/>
            </w:tcBorders>
          </w:tcPr>
          <w:p>
            <w:pPr>
              <w:spacing w:after="0" w:line="269" w:lineRule="auto"/>
            </w:pPr>
            <w:r>
              <w:rPr>
                <w:rFonts w:ascii="Aptos" w:hAnsi="Aptos" w:eastAsia="Aptos"/>
                <w:color w:val="0F172A"/>
                <w:sz w:val="19"/>
              </w:rPr>
              <w:t>Первые данные для корректировки</w:t>
            </w:r>
          </w:p>
        </w:tc>
      </w:tr>
    </w:tbl>
    <w:p>
      <w:pPr>
        <w:spacing w:after="20"/>
      </w:pPr>
    </w:p>
    <w:p>
      <w:pPr>
        <w:pStyle w:val="Heading1"/>
      </w:pPr>
      <w:r>
        <w:t>15. Типичные ошибки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Начинать с названия, логотипа и архетипа до выбора аудитории.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Перечислять технологии вместо объяснения клиентской ценности.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Пытаться одновременно обращаться ко всем сегментам рынка.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Называть планы и учебные проекты подтверждённым опытом.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Давать гарантии результата, который зависит от клиента и рынка.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Копировать стиль популярного автора без собственной позиции.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Публиковать общие советы без кейсов, наблюдений и доказательств.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Оценивать бренд только подписчиками и охватом.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Создавать слишком много каналов без ресурса на регулярное ведение.</w:t>
      </w:r>
    </w:p>
    <w:p>
      <w:pPr>
        <w:pStyle w:val="Heading1"/>
      </w:pPr>
      <w:r>
        <w:t>16. Итоговый чек-лист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Определена одна основная аудитория.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Сформулирована конкретная задача аудитории.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Понятна профессиональная категория бренда.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Выявлены реальные альтернативы клиента.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Заявленное отличие подтверждается фактами.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Обещание находится в зоне контроля специалиста.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Собраны минимум три доказательства компетентности.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Услуги имеют границы и критерии готовности.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Сообщения одинаково звучат на сайте, в профиле и предложениях.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Визуальные элементы последовательны и читаемы.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Контент показывает метод, процесс и результаты.</w:t>
      </w:r>
    </w:p>
    <w:p>
      <w:pPr>
        <w:pStyle w:val="ListBullet"/>
        <w:keepLines/>
      </w:pPr>
      <w:r>
        <w:rPr>
          <w:rFonts w:ascii="Aptos" w:hAnsi="Aptos" w:eastAsia="Aptos"/>
          <w:color w:val="0F172A"/>
          <w:sz w:val="22"/>
        </w:rPr>
        <w:t>Определены метрики доверия, спроса и качества аудитории.</w:t>
      </w:r>
    </w:p>
    <w:p>
      <w:pPr>
        <w:pStyle w:val="Heading1"/>
      </w:pPr>
      <w:r>
        <w:t>17. Рекомендуемые источники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1. </w:t>
      </w:r>
      <w:hyperlink r:id="rId11">
        <w:r>
          <w:rPr>
            <w:rFonts w:ascii="Aptos" w:hAnsi="Aptos"/>
            <w:color w:val="312E81"/>
            <w:u w:val="single"/>
          </w:rPr>
          <w:t>Kevin Lane Keller, Strategic Brand Management</w:t>
        </w:r>
      </w:hyperlink>
      <w:r>
        <w:rPr>
          <w:rFonts w:ascii="Aptos" w:hAnsi="Aptos" w:eastAsia="Aptos"/>
          <w:color w:val="64748B"/>
          <w:sz w:val="19"/>
        </w:rPr>
        <w:t xml:space="preserve"> — капитал бренда, узнаваемость, смысл и отношения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2. </w:t>
      </w:r>
      <w:hyperlink r:id="rId12">
        <w:r>
          <w:rPr>
            <w:rFonts w:ascii="Aptos" w:hAnsi="Aptos"/>
            <w:color w:val="312E81"/>
            <w:u w:val="single"/>
          </w:rPr>
          <w:t>David Aaker, Building Strong Brands</w:t>
        </w:r>
      </w:hyperlink>
      <w:r>
        <w:rPr>
          <w:rFonts w:ascii="Aptos" w:hAnsi="Aptos" w:eastAsia="Aptos"/>
          <w:color w:val="64748B"/>
          <w:sz w:val="19"/>
        </w:rPr>
        <w:t xml:space="preserve"> — идентичность и доказательства ценности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3. </w:t>
      </w:r>
      <w:hyperlink r:id="rId13">
        <w:r>
          <w:rPr>
            <w:rFonts w:ascii="Aptos" w:hAnsi="Aptos"/>
            <w:color w:val="312E81"/>
            <w:u w:val="single"/>
          </w:rPr>
          <w:t>Jean-Noël Kapferer, The New Strategic Brand Management</w:t>
        </w:r>
      </w:hyperlink>
      <w:r>
        <w:rPr>
          <w:rFonts w:ascii="Aptos" w:hAnsi="Aptos" w:eastAsia="Aptos"/>
          <w:color w:val="64748B"/>
          <w:sz w:val="19"/>
        </w:rPr>
        <w:t xml:space="preserve"> — целостность идентичности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4. </w:t>
      </w:r>
      <w:hyperlink r:id="rId14">
        <w:r>
          <w:rPr>
            <w:rFonts w:ascii="Aptos" w:hAnsi="Aptos"/>
            <w:color w:val="312E81"/>
            <w:u w:val="single"/>
          </w:rPr>
          <w:t>Byron Sharp, How Brands Grow</w:t>
        </w:r>
      </w:hyperlink>
      <w:r>
        <w:rPr>
          <w:rFonts w:ascii="Aptos" w:hAnsi="Aptos" w:eastAsia="Aptos"/>
          <w:color w:val="64748B"/>
          <w:sz w:val="19"/>
        </w:rPr>
        <w:t xml:space="preserve"> — ментальная доступность и отличительные элементы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5. </w:t>
      </w:r>
      <w:hyperlink r:id="rId15">
        <w:r>
          <w:rPr>
            <w:rFonts w:ascii="Aptos" w:hAnsi="Aptos"/>
            <w:color w:val="312E81"/>
            <w:u w:val="single"/>
          </w:rPr>
          <w:t>Marty Neumeier, The Brand Gap</w:t>
        </w:r>
      </w:hyperlink>
      <w:r>
        <w:rPr>
          <w:rFonts w:ascii="Aptos" w:hAnsi="Aptos" w:eastAsia="Aptos"/>
          <w:color w:val="64748B"/>
          <w:sz w:val="19"/>
        </w:rPr>
        <w:t xml:space="preserve"> — связь стратегии и клиентского опыта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6. </w:t>
      </w:r>
      <w:hyperlink r:id="rId16">
        <w:r>
          <w:rPr>
            <w:rFonts w:ascii="Aptos" w:hAnsi="Aptos"/>
            <w:color w:val="312E81"/>
            <w:u w:val="single"/>
          </w:rPr>
          <w:t>April Dunford, Obviously Awesome</w:t>
        </w:r>
      </w:hyperlink>
      <w:r>
        <w:rPr>
          <w:rFonts w:ascii="Aptos" w:hAnsi="Aptos" w:eastAsia="Aptos"/>
          <w:color w:val="64748B"/>
          <w:sz w:val="19"/>
        </w:rPr>
        <w:t xml:space="preserve"> — практическая система позиционирования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7. </w:t>
      </w:r>
      <w:hyperlink r:id="rId17">
        <w:r>
          <w:rPr>
            <w:rFonts w:ascii="Aptos" w:hAnsi="Aptos"/>
            <w:color w:val="312E81"/>
            <w:u w:val="single"/>
          </w:rPr>
          <w:t>Dorie Clark, Stand Out</w:t>
        </w:r>
      </w:hyperlink>
      <w:r>
        <w:rPr>
          <w:rFonts w:ascii="Aptos" w:hAnsi="Aptos" w:eastAsia="Aptos"/>
          <w:color w:val="64748B"/>
          <w:sz w:val="19"/>
        </w:rPr>
        <w:t xml:space="preserve"> — формирование экспертной идеи и признания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8. </w:t>
      </w:r>
      <w:hyperlink r:id="rId18">
        <w:r>
          <w:rPr>
            <w:rFonts w:ascii="Aptos" w:hAnsi="Aptos"/>
            <w:color w:val="312E81"/>
            <w:u w:val="single"/>
          </w:rPr>
          <w:t>Mark Schaefer, KNOWN</w:t>
        </w:r>
      </w:hyperlink>
      <w:r>
        <w:rPr>
          <w:rFonts w:ascii="Aptos" w:hAnsi="Aptos" w:eastAsia="Aptos"/>
          <w:color w:val="64748B"/>
          <w:sz w:val="19"/>
        </w:rPr>
        <w:t xml:space="preserve"> — ниша, контент и аудитория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9. </w:t>
      </w:r>
      <w:hyperlink r:id="rId19">
        <w:r>
          <w:rPr>
            <w:rFonts w:ascii="Aptos" w:hAnsi="Aptos"/>
            <w:color w:val="312E81"/>
            <w:u w:val="single"/>
          </w:rPr>
          <w:t>Austin Kleon, Show Your Work!</w:t>
        </w:r>
      </w:hyperlink>
      <w:r>
        <w:rPr>
          <w:rFonts w:ascii="Aptos" w:hAnsi="Aptos" w:eastAsia="Aptos"/>
          <w:color w:val="64748B"/>
          <w:sz w:val="19"/>
        </w:rPr>
        <w:t xml:space="preserve"> — демонстрация процесса работы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10. </w:t>
      </w:r>
      <w:hyperlink r:id="rId20">
        <w:r>
          <w:rPr>
            <w:rFonts w:ascii="Aptos" w:hAnsi="Aptos"/>
            <w:color w:val="312E81"/>
            <w:u w:val="single"/>
          </w:rPr>
          <w:t>Tom Peters, The Brand Called You</w:t>
        </w:r>
      </w:hyperlink>
      <w:r>
        <w:rPr>
          <w:rFonts w:ascii="Aptos" w:hAnsi="Aptos" w:eastAsia="Aptos"/>
          <w:color w:val="64748B"/>
          <w:sz w:val="19"/>
        </w:rPr>
        <w:t xml:space="preserve"> — историческая концепция личного бренда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11. </w:t>
      </w:r>
      <w:hyperlink r:id="rId21">
        <w:r>
          <w:rPr>
            <w:rFonts w:ascii="Aptos" w:hAnsi="Aptos"/>
            <w:color w:val="312E81"/>
            <w:u w:val="single"/>
          </w:rPr>
          <w:t>Gorbatov, Khapova, Lysova — Personal Branding Review</w:t>
        </w:r>
      </w:hyperlink>
      <w:r>
        <w:rPr>
          <w:rFonts w:ascii="Aptos" w:hAnsi="Aptos" w:eastAsia="Aptos"/>
          <w:color w:val="64748B"/>
          <w:sz w:val="19"/>
        </w:rPr>
        <w:t xml:space="preserve"> — систематический академический обзор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12. </w:t>
      </w:r>
      <w:hyperlink r:id="rId22">
        <w:r>
          <w:rPr>
            <w:rFonts w:ascii="Aptos" w:hAnsi="Aptos"/>
            <w:color w:val="312E81"/>
            <w:u w:val="single"/>
          </w:rPr>
          <w:t>Gorbatov et al. — The Impact of Personal Branding on Career Success</w:t>
        </w:r>
      </w:hyperlink>
      <w:r>
        <w:rPr>
          <w:rFonts w:ascii="Aptos" w:hAnsi="Aptos" w:eastAsia="Aptos"/>
          <w:color w:val="64748B"/>
          <w:sz w:val="19"/>
        </w:rPr>
        <w:t xml:space="preserve"> — личный бренд, воспринимаемая востребованность и карьера</w:t>
      </w:r>
    </w:p>
    <w:p>
      <w:pPr>
        <w:spacing w:after="120"/>
        <w:ind w:left="360" w:hanging="360"/>
      </w:pPr>
      <w:r>
        <w:rPr>
          <w:rFonts w:ascii="Aptos" w:hAnsi="Aptos" w:eastAsia="Aptos"/>
          <w:b/>
          <w:color w:val="0F172A"/>
          <w:sz w:val="19"/>
        </w:rPr>
        <w:t xml:space="preserve">13. </w:t>
      </w:r>
      <w:hyperlink r:id="rId23">
        <w:r>
          <w:rPr>
            <w:rFonts w:ascii="Aptos" w:hAnsi="Aptos"/>
            <w:color w:val="312E81"/>
            <w:u w:val="single"/>
          </w:rPr>
          <w:t>Edelman–LinkedIn, 2024 B2B Thought Leadership Impact Report</w:t>
        </w:r>
      </w:hyperlink>
      <w:r>
        <w:rPr>
          <w:rFonts w:ascii="Aptos" w:hAnsi="Aptos" w:eastAsia="Aptos"/>
          <w:color w:val="64748B"/>
          <w:sz w:val="19"/>
        </w:rPr>
        <w:t xml:space="preserve"> — влияние экспертного контента на доверие B2B-аудитории</w:t>
      </w:r>
    </w:p>
    <w:p>
      <w:pPr>
        <w:pStyle w:val="Heading1"/>
      </w:pPr>
      <w:r>
        <w:t>Заключение</w:t>
      </w:r>
    </w:p>
    <w:p>
      <w:pPr>
        <w:spacing w:before="140" w:after="180"/>
        <w:ind w:left="259" w:right="173"/>
        <w:shd w:fill="FFF7ED"/>
        <w:pBdr>
          <w:start w:val="single" w:sz="18" w:space="7" w:color="F97316"/>
        </w:pBdr>
      </w:pPr>
      <w:r>
        <w:rPr>
          <w:rFonts w:ascii="Aptos" w:hAnsi="Aptos" w:eastAsia="Aptos"/>
          <w:b/>
          <w:color w:val="1E1B4B"/>
          <w:sz w:val="22"/>
        </w:rPr>
        <w:t xml:space="preserve">Вывод: </w:t>
      </w:r>
      <w:r>
        <w:rPr>
          <w:rFonts w:ascii="Aptos" w:hAnsi="Aptos" w:eastAsia="Aptos"/>
          <w:color w:val="0F172A"/>
          <w:sz w:val="22"/>
        </w:rPr>
        <w:t>Сильный личный бренд возникает не из громкого самоназвания. Он строится на выбранной аудитории, понятной ценности, подтверждённой компетентности, последовательном поведении и регулярной демонстрации работы.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152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 w:eastAsia="Aptos"/>
        <w:color w:val="64748B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  <w:pBdr>
        <w:bottom w:val="single" w:sz="4" w:space="4" w:color="CBD5E1"/>
      </w:pBdr>
    </w:pPr>
    <w:r>
      <w:rPr>
        <w:rFonts w:ascii="Aptos" w:hAnsi="Aptos" w:eastAsia="Aptos"/>
        <w:b/>
        <w:color w:val="64748B"/>
        <w:sz w:val="18"/>
      </w:rPr>
      <w:t>Методичка по созданию личного бренда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ptos" w:hAnsi="Aptos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12E8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312E8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E1B4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Aptos" w:hAnsi="Aptos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Aptos" w:hAnsi="Aptos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pearson.com/en-us/subject-catalog/p/strategic-brand-management-building-measuring-and-managing-brand-equity/P200000005947/9780135641316" TargetMode="External"/><Relationship Id="rId12" Type="http://schemas.openxmlformats.org/officeDocument/2006/relationships/hyperlink" Target="https://www.simonandschuster.com/books/Building-Strong-Brands/David-A-Aaker/9780029001516" TargetMode="External"/><Relationship Id="rId13" Type="http://schemas.openxmlformats.org/officeDocument/2006/relationships/hyperlink" Target="https://www.koganpage.com/marketing-communications/the-new-strategic-brand-management-9780749465155" TargetMode="External"/><Relationship Id="rId14" Type="http://schemas.openxmlformats.org/officeDocument/2006/relationships/hyperlink" Target="https://global.oup.com/academic/product/how-brands-grow-9780195573565" TargetMode="External"/><Relationship Id="rId15" Type="http://schemas.openxmlformats.org/officeDocument/2006/relationships/hyperlink" Target="https://www.martyneumeier.com/the-brand-gap" TargetMode="External"/><Relationship Id="rId16" Type="http://schemas.openxmlformats.org/officeDocument/2006/relationships/hyperlink" Target="https://www.aprildunford.com/books" TargetMode="External"/><Relationship Id="rId17" Type="http://schemas.openxmlformats.org/officeDocument/2006/relationships/hyperlink" Target="https://www.penguinrandomhouse.com/books/316846/stand-out-by-dorie-clark/" TargetMode="External"/><Relationship Id="rId18" Type="http://schemas.openxmlformats.org/officeDocument/2006/relationships/hyperlink" Target="https://businessesgrow.com/publication/known-book/" TargetMode="External"/><Relationship Id="rId19" Type="http://schemas.openxmlformats.org/officeDocument/2006/relationships/hyperlink" Target="https://austinkleon.com/show-your-work/" TargetMode="External"/><Relationship Id="rId20" Type="http://schemas.openxmlformats.org/officeDocument/2006/relationships/hyperlink" Target="https://www.fastcompany.com/28905/brand-called-you" TargetMode="External"/><Relationship Id="rId21" Type="http://schemas.openxmlformats.org/officeDocument/2006/relationships/hyperlink" Target="https://www.frontiersin.org/journals/psychology/articles/10.3389/fpsyg.2018.02238/full" TargetMode="External"/><Relationship Id="rId22" Type="http://schemas.openxmlformats.org/officeDocument/2006/relationships/hyperlink" Target="https://www.frontiersin.org/journals/psychology/articles/10.3389/fpsyg.2019.02662/full" TargetMode="External"/><Relationship Id="rId23" Type="http://schemas.openxmlformats.org/officeDocument/2006/relationships/hyperlink" Target="https://www.linkedin.com/business/marketing/blog/research-and-insights/b2b-thought-leadership-research-impact-linkedin-edel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Методичка по созданию личного бренда</dc:title>
  <dc:subject>Практическая система создания и развития личного бренда</dc:subject>
  <dc:creator>Степанов Дмитрий Александрович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