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40" w:line="300" w:lineRule="auto"/>
        <w:jc w:val="center"/>
      </w:pPr>
      <w:r>
        <w:rPr>
          <w:rFonts w:ascii="Calibri" w:hAnsi="Calibri"/>
          <w:b w:val="0"/>
          <w:i w:val="0"/>
          <w:color w:val="7661D1"/>
          <w:sz w:val="22"/>
        </w:rPr>
        <w:t>ПРАКТИЧЕСКАЯ МЕТОДИЧКА</w:t>
      </w:r>
    </w:p>
    <w:p>
      <w:pPr>
        <w:pStyle w:val="Title"/>
        <w:jc w:val="center"/>
      </w:pPr>
      <w:r>
        <w:rPr>
          <w:rFonts w:ascii="Calibri" w:hAnsi="Calibri"/>
          <w:b/>
          <w:i w:val="0"/>
          <w:color w:val="17324D"/>
          <w:sz w:val="60"/>
        </w:rPr>
        <w:t>Команда как система</w:t>
      </w:r>
    </w:p>
    <w:p>
      <w:pPr>
        <w:spacing w:after="600" w:line="300" w:lineRule="auto"/>
        <w:jc w:val="center"/>
      </w:pPr>
      <w:r>
        <w:rPr>
          <w:rFonts w:ascii="Calibri" w:hAnsi="Calibri"/>
          <w:b w:val="0"/>
          <w:i w:val="0"/>
          <w:color w:val="2E74B5"/>
          <w:sz w:val="22"/>
        </w:rPr>
        <w:t>Коммуникация, доверие и ответственность в эпоху ИИ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7661D1"/>
          <w:left w:val="single" w:sz="10" w:color="7661D1"/>
          <w:bottom w:val="single" w:sz="10" w:color="7661D1"/>
          <w:right w:val="single" w:sz="10" w:color="7661D1"/>
          <w:insideH w:val="single" w:sz="10" w:color="7661D1"/>
          <w:insideV w:val="single" w:sz="10" w:color="7661D1"/>
        </w:tblBorders>
      </w:tblPr>
      <w:tblGrid>
        <w:gridCol w:w="9360"/>
      </w:tblGrid>
      <w:tr>
        <w:tc>
          <w:tcPr>
            <w:tcW w:type="dxa" w:w="9360"/>
            <w:vAlign w:val="center"/>
            <w:shd w:fill="F1EEFF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7661D1"/>
                <w:sz w:val="24"/>
              </w:rPr>
              <w:t>Главная идея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Сильная команда — не группа людей, которые всегда согласны, а система, где можно безопасно спорить, фиксировать решения, признавать ошибки и отвечать за общий результат.</w:t>
            </w:r>
          </w:p>
        </w:tc>
      </w:tr>
    </w:tbl>
    <w:p>
      <w:pPr>
        <w:spacing w:after="20"/>
      </w:pPr>
    </w:p>
    <w:p>
      <w:pPr>
        <w:spacing w:after="280" w:line="300" w:lineRule="auto"/>
        <w:jc w:val="center"/>
      </w:pPr>
      <w:r>
        <w:rPr>
          <w:rFonts w:ascii="Calibri" w:hAnsi="Calibri"/>
          <w:b w:val="0"/>
          <w:i w:val="0"/>
          <w:color w:val="5E6B75"/>
          <w:sz w:val="22"/>
        </w:rPr>
        <w:t>Для руководителей, проектных команд, HR/L&amp;D и промпт‑инженеров</w:t>
      </w:r>
    </w:p>
    <w:p>
      <w:pPr>
        <w:spacing w:after="120" w:line="300" w:lineRule="auto"/>
        <w:jc w:val="center"/>
      </w:pPr>
      <w:r>
        <w:rPr>
          <w:rFonts w:ascii="Calibri" w:hAnsi="Calibri"/>
          <w:b/>
          <w:i w:val="0"/>
          <w:color w:val="17324D"/>
          <w:sz w:val="22"/>
        </w:rPr>
        <w:t>Автор:</w:t>
      </w:r>
      <w:r>
        <w:rPr>
          <w:rFonts w:ascii="Calibri" w:hAnsi="Calibri"/>
          <w:b w:val="0"/>
          <w:i w:val="0"/>
          <w:color w:val="17324D"/>
          <w:sz w:val="22"/>
        </w:rPr>
        <w:t xml:space="preserve"> Стапанов Д.А.</w:t>
      </w:r>
    </w:p>
    <w:p>
      <w:pPr>
        <w:spacing w:after="40" w:line="300" w:lineRule="auto"/>
        <w:jc w:val="center"/>
      </w:pPr>
      <w:r>
        <w:rPr>
          <w:rFonts w:ascii="Calibri" w:hAnsi="Calibri"/>
          <w:b/>
          <w:i w:val="0"/>
          <w:color w:val="17324D"/>
          <w:sz w:val="22"/>
        </w:rPr>
        <w:t>Версия 1.0</w:t>
      </w:r>
      <w:r>
        <w:rPr>
          <w:rFonts w:ascii="Calibri" w:hAnsi="Calibri"/>
          <w:b w:val="0"/>
          <w:i w:val="0"/>
          <w:color w:val="17324D"/>
          <w:sz w:val="22"/>
        </w:rPr>
        <w:t xml:space="preserve">  •  1 сентября 2026 года</w:t>
      </w:r>
    </w:p>
    <w:p>
      <w:pPr>
        <w:spacing w:after="120" w:line="300" w:lineRule="auto"/>
        <w:jc w:val="center"/>
      </w:pPr>
      <w:r>
        <w:rPr>
          <w:rFonts w:ascii="Calibri" w:hAnsi="Calibri"/>
          <w:b w:val="0"/>
          <w:i/>
          <w:color w:val="5E6B75"/>
          <w:sz w:val="22"/>
        </w:rPr>
        <w:t>Практическое дополнение к курсу «Промпт‑инжиниринг»</w:t>
      </w:r>
    </w:p>
    <w:p>
      <w:r>
        <w:br w:type="page"/>
      </w:r>
    </w:p>
    <w:p>
      <w:pPr>
        <w:pStyle w:val="Heading1"/>
      </w:pPr>
      <w:r>
        <w:t>1. Как пользоваться методичкой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Материал соединяет фундаментальные идеи о совместной работе — от античной риторики и разделения труда до групповой динамики, обучающейся организации и психологической безопасности — с современными исследованиями гибридной работы и управлением ИИ‑рисками. Это не универсальный рецепт: каждое правило следует проверять на реальной команде коротким экспериментом.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216E4E"/>
          <w:left w:val="single" w:sz="10" w:color="216E4E"/>
          <w:bottom w:val="single" w:sz="10" w:color="216E4E"/>
          <w:right w:val="single" w:sz="10" w:color="216E4E"/>
          <w:insideH w:val="single" w:sz="10" w:color="216E4E"/>
          <w:insideV w:val="single" w:sz="10" w:color="216E4E"/>
        </w:tblBorders>
      </w:tblPr>
      <w:tblGrid>
        <w:gridCol w:w="9360"/>
      </w:tblGrid>
      <w:tr>
        <w:tc>
          <w:tcPr>
            <w:tcW w:type="dxa" w:w="9360"/>
            <w:vAlign w:val="center"/>
            <w:shd w:fill="EDF7F2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216E4E"/>
                <w:sz w:val="24"/>
              </w:rPr>
              <w:t>Цикл внедрения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Диагноз → одно изменение → 1–2 недели практики → измерение → решение: закрепить, скорректировать или отменить.</w:t>
            </w:r>
          </w:p>
        </w:tc>
      </w:tr>
    </w:tbl>
    <w:p>
      <w:pPr>
        <w:spacing w:after="20"/>
      </w:pPr>
    </w:p>
    <w:p>
      <w:pPr>
        <w:pStyle w:val="Heading2"/>
      </w:pPr>
      <w:r>
        <w:t>Что считать командой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Команда — это группа с общим результатом, взаимозависимыми задачами, понятными границами участия и механизмом совместных решений. Если люди только обмениваются информацией, но не зависят друг от друга в достижении результата, это скорее рабочая группа.</w:t>
      </w:r>
    </w:p>
    <w:p>
      <w:pPr>
        <w:pStyle w:val="Heading2"/>
      </w:pPr>
      <w:r>
        <w:t>Историческая линия: что сохранилось, что изменилось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500"/>
        <w:gridCol w:w="3500"/>
        <w:gridCol w:w="4360"/>
      </w:tblGrid>
      <w:tr>
        <w:tc>
          <w:tcPr>
            <w:tcW w:type="dxa" w:w="15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Период</w:t>
            </w:r>
          </w:p>
        </w:tc>
        <w:tc>
          <w:tcPr>
            <w:tcW w:type="dxa" w:w="35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Ключевая идея</w:t>
            </w:r>
          </w:p>
        </w:tc>
        <w:tc>
          <w:tcPr>
            <w:tcW w:type="dxa" w:w="43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Практический вывод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Античность</w:t>
            </w:r>
          </w:p>
        </w:tc>
        <w:tc>
          <w:tcPr>
            <w:tcW w:type="dxa" w:w="3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Аристотель и Цицерон: аргумент, доверие к говорящему, учет аудитории</w:t>
            </w:r>
          </w:p>
        </w:tc>
        <w:tc>
          <w:tcPr>
            <w:tcW w:type="dxa" w:w="43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Отделять факты, аргументы и эмоции; спорить о решении, не о личности.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XVIII–XIX вв.</w:t>
            </w:r>
          </w:p>
        </w:tc>
        <w:tc>
          <w:tcPr>
            <w:tcW w:type="dxa" w:w="3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А. Смит: разделение труда и координация</w:t>
            </w:r>
          </w:p>
        </w:tc>
        <w:tc>
          <w:tcPr>
            <w:tcW w:type="dxa" w:w="43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Специализация повышает производительность, но создает зависимости и риск локальной оптимизации.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Начало XX в.</w:t>
            </w:r>
          </w:p>
        </w:tc>
        <w:tc>
          <w:tcPr>
            <w:tcW w:type="dxa" w:w="3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Тейлор и Файоль: стандартизация, планирование, контроль</w:t>
            </w:r>
          </w:p>
        </w:tc>
        <w:tc>
          <w:tcPr>
            <w:tcW w:type="dxa" w:w="43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Процесс должен быть видимым; ограничение — нельзя сводить человека к исполняемой операции.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1920–1960-е</w:t>
            </w:r>
          </w:p>
        </w:tc>
        <w:tc>
          <w:tcPr>
            <w:tcW w:type="dxa" w:w="3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Фоллетт, Барнард, Левин, Бион: конфликт, сотрудничество, групповая динамика</w:t>
            </w:r>
          </w:p>
        </w:tc>
        <w:tc>
          <w:tcPr>
            <w:tcW w:type="dxa" w:w="43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Конфликт можно интегрировать; неявные эмоции и нормы влияют на решения.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1970–1990-е</w:t>
            </w:r>
          </w:p>
        </w:tc>
        <w:tc>
          <w:tcPr>
            <w:tcW w:type="dxa" w:w="3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Арджирис, Шён, Деминг, Сенге: обучение и системное мышление</w:t>
            </w:r>
          </w:p>
        </w:tc>
        <w:tc>
          <w:tcPr>
            <w:tcW w:type="dxa" w:w="43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Исправлять не только ошибку, но и правило, которое ее воспроизводит.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1990-е–сейчас</w:t>
            </w:r>
          </w:p>
        </w:tc>
        <w:tc>
          <w:tcPr>
            <w:tcW w:type="dxa" w:w="3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Эдмондсон, Хэкман, Google re:Work: условия эффективности</w:t>
            </w:r>
          </w:p>
        </w:tc>
        <w:tc>
          <w:tcPr>
            <w:tcW w:type="dxa" w:w="43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Безопасность, ясность, надежность, смысл и влияние важнее «идеального типа личности».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Эпоха ИИ</w:t>
            </w:r>
          </w:p>
        </w:tc>
        <w:tc>
          <w:tcPr>
            <w:tcW w:type="dxa" w:w="3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Человек задает цель и несет ответственность; ИИ ускоряет черновик и анализ</w:t>
            </w:r>
          </w:p>
        </w:tc>
        <w:tc>
          <w:tcPr>
            <w:tcW w:type="dxa" w:w="43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Проверяемость, происхождение данных и человеческое подтверждение обязательны.</w:t>
            </w:r>
          </w:p>
        </w:tc>
      </w:tr>
    </w:tbl>
    <w:p>
      <w:r>
        <w:br w:type="page"/>
      </w:r>
    </w:p>
    <w:p>
      <w:pPr>
        <w:pStyle w:val="Heading1"/>
      </w:pPr>
      <w:r>
        <w:t>2. Модель команды как системы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500"/>
        <w:gridCol w:w="3900"/>
        <w:gridCol w:w="3960"/>
      </w:tblGrid>
      <w:tr>
        <w:tc>
          <w:tcPr>
            <w:tcW w:type="dxa" w:w="15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Контур</w:t>
            </w:r>
          </w:p>
        </w:tc>
        <w:tc>
          <w:tcPr>
            <w:tcW w:type="dxa" w:w="39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Контрольный вопрос</w:t>
            </w:r>
          </w:p>
        </w:tc>
        <w:tc>
          <w:tcPr>
            <w:tcW w:type="dxa" w:w="39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Типовой сбой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Цель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Какой общий результат и для кого?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Каждый оптимизирует свой участок.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Роли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Кто принимает решение, выполняет, консультирует и информируется?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Коллективная безответственность или микроменеджмент.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Поток работы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Как задача проходит от запроса до результата?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Скрытые очереди, переключения, незавершенность.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Коммуникация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Какой канал, срок ответа и формат?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Важное теряется в чатах; встречи заменяют документацию.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Обратная связь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Как замечаем отклонения и учимся?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Ошибки скрываются; обсуждается личность, а не поведение.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Безопасность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Можно ли сообщить риск, сомнение и ошибку без унижения?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Поздняя эскалация, ложное согласие.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Границы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Как защищаем фокус, отдых и конфиденциальность?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Постоянная срочность и выгорание.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Инструменты и ИИ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Что автоматизируется и кто проверяет?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Автоматизация ускоряет ошибку и размывает ответственность.</w:t>
            </w:r>
          </w:p>
        </w:tc>
      </w:tr>
    </w:tbl>
    <w:p>
      <w:pPr>
        <w:pStyle w:val="Heading2"/>
      </w:pPr>
      <w:r>
        <w:t>Быстрая диагностика: 10 вопросов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У команды есть один измеримый результат на период?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У каждого результата один владелец решения?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Понятно, где хранится актуальная версия решения?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Есть срок ответа по каждому каналу?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Блокеры поднимаются до срыва срока?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Разногласие можно выразить без санкций и насмешек?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Встречи заканчиваются решением, владельцем и сроком?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Ошибка приводит к улучшению системы, а не только к поиску виновного?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Нагрузка и восстановление обсуждаются до кризиса?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Результат ИИ проверяет названный человек по критериям?</w:t>
      </w:r>
    </w:p>
    <w:p>
      <w:pPr>
        <w:spacing w:after="120" w:line="300" w:lineRule="auto"/>
      </w:pPr>
      <w:r>
        <w:rPr>
          <w:rFonts w:ascii="Calibri" w:hAnsi="Calibri"/>
          <w:b w:val="0"/>
          <w:i/>
          <w:color w:val="5E6B75"/>
          <w:sz w:val="22"/>
        </w:rPr>
        <w:t>Оценка: 0–4 «да» — система нестабильна; 5–7 — работает, но зависит от отдельных людей; 8–10 — зрелая основа. Это управленческий скрининг, а не научная шкала.</w:t>
      </w:r>
    </w:p>
    <w:p>
      <w:r>
        <w:br w:type="page"/>
      </w:r>
    </w:p>
    <w:p>
      <w:pPr>
        <w:pStyle w:val="Heading1"/>
      </w:pPr>
      <w:r>
        <w:t>3. Правила и каналы коммуникации</w:t>
      </w:r>
    </w:p>
    <w:p>
      <w:pPr>
        <w:pStyle w:val="Heading2"/>
      </w:pPr>
      <w:r>
        <w:t>Пять уровней коммуникации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700"/>
        <w:gridCol w:w="4400"/>
        <w:gridCol w:w="3260"/>
      </w:tblGrid>
      <w:tr>
        <w:tc>
          <w:tcPr>
            <w:tcW w:type="dxa" w:w="17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Уровень</w:t>
            </w:r>
          </w:p>
        </w:tc>
        <w:tc>
          <w:tcPr>
            <w:tcW w:type="dxa" w:w="44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Содержание</w:t>
            </w:r>
          </w:p>
        </w:tc>
        <w:tc>
          <w:tcPr>
            <w:tcW w:type="dxa" w:w="32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Ритм / носитель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Стратегический</w:t>
            </w:r>
          </w:p>
        </w:tc>
        <w:tc>
          <w:tcPr>
            <w:tcW w:type="dxa" w:w="44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Цели, видение, критерии успеха, крупные риски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Квартал; стратегическая сессия + документ.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Тактический</w:t>
            </w:r>
          </w:p>
        </w:tc>
        <w:tc>
          <w:tcPr>
            <w:tcW w:type="dxa" w:w="44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Приоритеты, спринты, ресурсы, зависимости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Неделя; планирование + доска задач.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Оперативный</w:t>
            </w:r>
          </w:p>
        </w:tc>
        <w:tc>
          <w:tcPr>
            <w:tcW w:type="dxa" w:w="44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Задачи, статусы, блокеры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Ежедневно; задачник, короткий стендап при необходимости.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Эмоциональный</w:t>
            </w:r>
          </w:p>
        </w:tc>
        <w:tc>
          <w:tcPr>
            <w:tcW w:type="dxa" w:w="44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Поддержка, признание, напряжение, безопасность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Постоянно; 1:1, ретро, личный разговор.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Неформальный</w:t>
            </w:r>
          </w:p>
        </w:tc>
        <w:tc>
          <w:tcPr>
            <w:tcW w:type="dxa" w:w="44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Доверие, связи, культура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Органически; добровольные нерабочие пространства.</w:t>
            </w:r>
          </w:p>
        </w:tc>
      </w:tr>
    </w:tbl>
    <w:p>
      <w:pPr>
        <w:pStyle w:val="Heading2"/>
      </w:pPr>
      <w:r>
        <w:t>Матрица выбора канала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2200"/>
        <w:gridCol w:w="2600"/>
        <w:gridCol w:w="4560"/>
      </w:tblGrid>
      <w:tr>
        <w:tc>
          <w:tcPr>
            <w:tcW w:type="dxa" w:w="22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Ситуация</w:t>
            </w:r>
          </w:p>
        </w:tc>
        <w:tc>
          <w:tcPr>
            <w:tcW w:type="dxa" w:w="26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Канал</w:t>
            </w:r>
          </w:p>
        </w:tc>
        <w:tc>
          <w:tcPr>
            <w:tcW w:type="dxa" w:w="45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Правило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Решение или обязательство</w:t>
            </w:r>
          </w:p>
        </w:tc>
        <w:tc>
          <w:tcPr>
            <w:tcW w:type="dxa" w:w="2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Документ / decision log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Дата, контекст, решение, владелец, срок, ссылка на данные.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Задача</w:t>
            </w:r>
          </w:p>
        </w:tc>
        <w:tc>
          <w:tcPr>
            <w:tcW w:type="dxa" w:w="2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Трекер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Результат, критерии приемки, владелец, срок, зависимости.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Уточнение без срочности</w:t>
            </w:r>
          </w:p>
        </w:tc>
        <w:tc>
          <w:tcPr>
            <w:tcW w:type="dxa" w:w="2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Асинхронный чат / комментарий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Один тред; контекст и желаемый срок ответа.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Сложность или конфликт</w:t>
            </w:r>
          </w:p>
        </w:tc>
        <w:tc>
          <w:tcPr>
            <w:tcW w:type="dxa" w:w="2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Созвон / личный разговор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Сначала цель и факты; после — письменная фиксация.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Критический инцидент</w:t>
            </w:r>
          </w:p>
        </w:tc>
        <w:tc>
          <w:tcPr>
            <w:tcW w:type="dxa" w:w="2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Срочный канал + звонок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Явная эскалация, координатор, частота обновлений.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Обучающий материал</w:t>
            </w:r>
          </w:p>
        </w:tc>
        <w:tc>
          <w:tcPr>
            <w:tcW w:type="dxa" w:w="2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База знаний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Версия, автор/владелец, дата пересмотра, источник.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7661D1"/>
          <w:left w:val="single" w:sz="10" w:color="7661D1"/>
          <w:bottom w:val="single" w:sz="10" w:color="7661D1"/>
          <w:right w:val="single" w:sz="10" w:color="7661D1"/>
          <w:insideH w:val="single" w:sz="10" w:color="7661D1"/>
          <w:insideV w:val="single" w:sz="10" w:color="7661D1"/>
        </w:tblBorders>
      </w:tblPr>
      <w:tblGrid>
        <w:gridCol w:w="9360"/>
      </w:tblGrid>
      <w:tr>
        <w:tc>
          <w:tcPr>
            <w:tcW w:type="dxa" w:w="9360"/>
            <w:vAlign w:val="center"/>
            <w:shd w:fill="F6F3FF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7661D1"/>
                <w:sz w:val="24"/>
              </w:rPr>
              <w:t>Минимальный стандарт сообщения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Контекст → наблюдаемый факт → влияние/риск → нужное действие → владелец → срок. Если ответа не требуется, так и написать.</w:t>
            </w:r>
          </w:p>
        </w:tc>
      </w:tr>
    </w:tbl>
    <w:p>
      <w:pPr>
        <w:spacing w:after="20"/>
      </w:pPr>
    </w:p>
    <w:p>
      <w:pPr>
        <w:pStyle w:val="Heading2"/>
      </w:pPr>
      <w:r>
        <w:t>Асинхронность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Пишите так, чтобы адресат мог ответить без дополнительного созвона.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Не заменяйте сложный документ длинным видео: видео удобно для демонстрации, но нужен текстовый итог и навигация.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Статус храните в задачнике, а не спрашивайте «ну что там?» в личных сообщениях.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Установите окна ответа и правила срочности; отсутствие мгновенного ответа не равно безразличию.</w:t>
      </w:r>
    </w:p>
    <w:p>
      <w:r>
        <w:br w:type="page"/>
      </w:r>
    </w:p>
    <w:p>
      <w:pPr>
        <w:pStyle w:val="Heading1"/>
      </w:pPr>
      <w:r>
        <w:t>4. Ритм команды: встречи, которые производят результат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550"/>
        <w:gridCol w:w="2700"/>
        <w:gridCol w:w="3300"/>
        <w:gridCol w:w="1810"/>
      </w:tblGrid>
      <w:tr>
        <w:tc>
          <w:tcPr>
            <w:tcW w:type="dxa" w:w="155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Формат</w:t>
            </w:r>
          </w:p>
        </w:tc>
        <w:tc>
          <w:tcPr>
            <w:tcW w:type="dxa" w:w="27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Цель</w:t>
            </w:r>
          </w:p>
        </w:tc>
        <w:tc>
          <w:tcPr>
            <w:tcW w:type="dxa" w:w="33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Результат встречи</w:t>
            </w:r>
          </w:p>
        </w:tc>
        <w:tc>
          <w:tcPr>
            <w:tcW w:type="dxa" w:w="181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Рекомендуемый ритм</w:t>
            </w:r>
          </w:p>
        </w:tc>
      </w:tr>
      <w:tr>
        <w:tc>
          <w:tcPr>
            <w:tcW w:type="dxa" w:w="155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Ежедневная синхронизация</w:t>
            </w:r>
          </w:p>
        </w:tc>
        <w:tc>
          <w:tcPr>
            <w:tcW w:type="dxa" w:w="2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Выявить блокеры и изменения плана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Обновленный план и эскалации; не отчет начальнику</w:t>
            </w:r>
          </w:p>
        </w:tc>
        <w:tc>
          <w:tcPr>
            <w:tcW w:type="dxa" w:w="181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До 15 мин, только если есть взаимозависимость.</w:t>
            </w:r>
          </w:p>
        </w:tc>
      </w:tr>
      <w:tr>
        <w:tc>
          <w:tcPr>
            <w:tcW w:type="dxa" w:w="155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Планирование</w:t>
            </w:r>
          </w:p>
        </w:tc>
        <w:tc>
          <w:tcPr>
            <w:tcW w:type="dxa" w:w="2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Согласовать приоритеты, мощность, риски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Набор обязательств и критерии готовности</w:t>
            </w:r>
          </w:p>
        </w:tc>
        <w:tc>
          <w:tcPr>
            <w:tcW w:type="dxa" w:w="181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Еженедельно / на спринт.</w:t>
            </w:r>
          </w:p>
        </w:tc>
      </w:tr>
      <w:tr>
        <w:tc>
          <w:tcPr>
            <w:tcW w:type="dxa" w:w="155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Обзор результата</w:t>
            </w:r>
          </w:p>
        </w:tc>
        <w:tc>
          <w:tcPr>
            <w:tcW w:type="dxa" w:w="2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Принять работу по критериям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Принято / доработать, зафиксированная обратная связь</w:t>
            </w:r>
          </w:p>
        </w:tc>
        <w:tc>
          <w:tcPr>
            <w:tcW w:type="dxa" w:w="181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 конце итерации.</w:t>
            </w:r>
          </w:p>
        </w:tc>
      </w:tr>
      <w:tr>
        <w:tc>
          <w:tcPr>
            <w:tcW w:type="dxa" w:w="155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Ретроспектива</w:t>
            </w:r>
          </w:p>
        </w:tc>
        <w:tc>
          <w:tcPr>
            <w:tcW w:type="dxa" w:w="2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Улучшить способ работы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Один эксперимент с владельцем и метрикой</w:t>
            </w:r>
          </w:p>
        </w:tc>
        <w:tc>
          <w:tcPr>
            <w:tcW w:type="dxa" w:w="181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Раз в 1–2 недели.</w:t>
            </w:r>
          </w:p>
        </w:tc>
      </w:tr>
      <w:tr>
        <w:tc>
          <w:tcPr>
            <w:tcW w:type="dxa" w:w="155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1:1</w:t>
            </w:r>
          </w:p>
        </w:tc>
        <w:tc>
          <w:tcPr>
            <w:tcW w:type="dxa" w:w="2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Развитие, обратная связь, поддержка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Договоренности и поддержка; конфиденциальность</w:t>
            </w:r>
          </w:p>
        </w:tc>
        <w:tc>
          <w:tcPr>
            <w:tcW w:type="dxa" w:w="181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Раз в 1–2 недели.</w:t>
            </w:r>
          </w:p>
        </w:tc>
      </w:tr>
      <w:tr>
        <w:tc>
          <w:tcPr>
            <w:tcW w:type="dxa" w:w="155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Стратегическая сессия</w:t>
            </w:r>
          </w:p>
        </w:tc>
        <w:tc>
          <w:tcPr>
            <w:tcW w:type="dxa" w:w="2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Сверить цели и крупные решения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Обновленные приоритеты и decision log</w:t>
            </w:r>
          </w:p>
        </w:tc>
        <w:tc>
          <w:tcPr>
            <w:tcW w:type="dxa" w:w="181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Раз в квартал.</w:t>
            </w:r>
          </w:p>
        </w:tc>
      </w:tr>
    </w:tbl>
    <w:p>
      <w:pPr>
        <w:pStyle w:val="Heading2"/>
      </w:pPr>
      <w:r>
        <w:t>Протокол любой встречи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До: цель, решение, которое нужно принять, материалы и роли участников.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Во время: фасилитатор отделяет факты, гипотезы, варианты и решение.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После: решение, аргументы, ответственный, срок, открытые вопросы, ссылка.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Если встреча не требует совместного решения, конфликта смыслов или интерактивного создания — заменить асинхронной работой.</w:t>
      </w:r>
    </w:p>
    <w:p>
      <w:pPr>
        <w:pStyle w:val="Heading2"/>
      </w:pPr>
      <w:r>
        <w:t>Правило «одного источника правды»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«Мы это обсуждали» не является договоренностью. Рабочей считается формулировка, доступная по ссылке и содержащая: дату, участников/контекст, решение, владельца, срок, критерий завершения и историю изменения. Единственный источник правды означает один канонический адрес, а не один инструмент на все случаи.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c>
          <w:tcPr>
            <w:tcW w:type="dxa" w:w="9360"/>
            <w:vAlign w:val="center"/>
            <w:shd w:fill="EEF3F8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2E74B5"/>
                <w:sz w:val="24"/>
              </w:rPr>
              <w:t>Шаблон решения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ID / дата • контекст • варианты • принятое решение • почему • владелец • срок пересмотра • связанные задачи • риски.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5. Роли, ответственность и автономия</w:t>
      </w:r>
    </w:p>
    <w:p>
      <w:pPr>
        <w:pStyle w:val="Heading2"/>
      </w:pPr>
      <w:r>
        <w:t>RACI: ответственность за результат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500"/>
        <w:gridCol w:w="3300"/>
        <w:gridCol w:w="4560"/>
      </w:tblGrid>
      <w:tr>
        <w:tc>
          <w:tcPr>
            <w:tcW w:type="dxa" w:w="15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Буква</w:t>
            </w:r>
          </w:p>
        </w:tc>
        <w:tc>
          <w:tcPr>
            <w:tcW w:type="dxa" w:w="33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Смысл</w:t>
            </w:r>
          </w:p>
        </w:tc>
        <w:tc>
          <w:tcPr>
            <w:tcW w:type="dxa" w:w="45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Правило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R — Responsible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Выполняет работу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Может быть несколько, если границы вклада ясны.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A — Accountable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Отвечает за итог и принимает решение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Ровно один на конкретный результат.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C — Consulted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Дает экспертизу до решения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Срок и форма консультации заранее определены.</w:t>
            </w:r>
          </w:p>
        </w:tc>
      </w:tr>
      <w:tr>
        <w:tc>
          <w:tcPr>
            <w:tcW w:type="dxa" w:w="1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I — Informed</w:t>
            </w:r>
          </w:p>
        </w:tc>
        <w:tc>
          <w:tcPr>
            <w:tcW w:type="dxa" w:w="3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Получает итоговую информацию</w:t>
            </w:r>
          </w:p>
        </w:tc>
        <w:tc>
          <w:tcPr>
            <w:tcW w:type="dxa" w:w="45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превращать информирование в скрытое согласование.</w:t>
            </w:r>
          </w:p>
        </w:tc>
      </w:tr>
    </w:tbl>
    <w:p>
      <w:pPr>
        <w:pStyle w:val="Heading2"/>
      </w:pPr>
      <w:r>
        <w:t>Белбин: девять способов командного вклада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Белбин описывает поведенческие предпочтения, а не должности. Один человек может проявлять 2–3 роли; вклад меняется с задачей и контекстом.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600"/>
        <w:gridCol w:w="3800"/>
        <w:gridCol w:w="3960"/>
      </w:tblGrid>
      <w:tr>
        <w:tc>
          <w:tcPr>
            <w:tcW w:type="dxa" w:w="16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Группа</w:t>
            </w:r>
          </w:p>
        </w:tc>
        <w:tc>
          <w:tcPr>
            <w:tcW w:type="dxa" w:w="38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Роли</w:t>
            </w:r>
          </w:p>
        </w:tc>
        <w:tc>
          <w:tcPr>
            <w:tcW w:type="dxa" w:w="39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Как использовать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Мыслительные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Генератор идей (Plant), Аналитик‑оценщик, Специалист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Проверить: есть ли идеи, критическая оценка и предметная глубина.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Социальные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Исследователь ресурсов, Командный игрок, Координатор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Проверить: есть ли внешние связи, поддержка взаимодействия и согласование.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Действенные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Мотиватор/формирователь, Реализатор, Завершитель</w:t>
            </w:r>
          </w:p>
        </w:tc>
        <w:tc>
          <w:tcPr>
            <w:tcW w:type="dxa" w:w="3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Проверить: есть ли импульс, перевод в план и контроль качества завершения.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B07A00"/>
          <w:left w:val="single" w:sz="10" w:color="B07A00"/>
          <w:bottom w:val="single" w:sz="10" w:color="B07A00"/>
          <w:right w:val="single" w:sz="10" w:color="B07A00"/>
          <w:insideH w:val="single" w:sz="10" w:color="B07A00"/>
          <w:insideV w:val="single" w:sz="10" w:color="B07A00"/>
        </w:tblBorders>
      </w:tblPr>
      <w:tblGrid>
        <w:gridCol w:w="9360"/>
      </w:tblGrid>
      <w:tr>
        <w:tc>
          <w:tcPr>
            <w:tcW w:type="dxa" w:w="9360"/>
            <w:vAlign w:val="center"/>
            <w:shd w:fill="FFF6E5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B07A00"/>
                <w:sz w:val="24"/>
              </w:rPr>
              <w:t>Ограничение модели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Не используйте Белбина для ярлыков, клинических выводов, отбора или оценки квалификации. Психометрические результаты неоднозначны; применяйте модель как язык рефлексии вместе с наблюдением коллег и фактами работы.</w:t>
            </w:r>
          </w:p>
        </w:tc>
      </w:tr>
    </w:tbl>
    <w:p>
      <w:pPr>
        <w:spacing w:after="20"/>
      </w:pPr>
    </w:p>
    <w:p>
      <w:pPr>
        <w:pStyle w:val="Heading2"/>
      </w:pPr>
      <w:r>
        <w:t>Баланс автономии и поддержки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700"/>
        <w:gridCol w:w="3800"/>
        <w:gridCol w:w="3860"/>
      </w:tblGrid>
      <w:tr>
        <w:tc>
          <w:tcPr>
            <w:tcW w:type="dxa" w:w="17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Уровень</w:t>
            </w:r>
          </w:p>
        </w:tc>
        <w:tc>
          <w:tcPr>
            <w:tcW w:type="dxa" w:w="38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Руководитель</w:t>
            </w:r>
          </w:p>
        </w:tc>
        <w:tc>
          <w:tcPr>
            <w:tcW w:type="dxa" w:w="38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Сотрудник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1. Направление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Задает способ и частые контрольные точки</w:t>
            </w:r>
          </w:p>
        </w:tc>
        <w:tc>
          <w:tcPr>
            <w:tcW w:type="dxa" w:w="38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Учится и уточняет.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2. Совместное решение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Формулирует границы и помогает выбрать способ</w:t>
            </w:r>
          </w:p>
        </w:tc>
        <w:tc>
          <w:tcPr>
            <w:tcW w:type="dxa" w:w="38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Предлагает варианты и риски.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3. Автономное исполнение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Согласует результат, ограничения и эскалацию</w:t>
            </w:r>
          </w:p>
        </w:tc>
        <w:tc>
          <w:tcPr>
            <w:tcW w:type="dxa" w:w="38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Сам выбирает способ, сообщает о рисках.</w:t>
            </w:r>
          </w:p>
        </w:tc>
      </w:tr>
      <w:tr>
        <w:tc>
          <w:tcPr>
            <w:tcW w:type="dxa" w:w="17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4. Делегированное владение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Сохраняет обзор портфеля и поддержку</w:t>
            </w:r>
          </w:p>
        </w:tc>
        <w:tc>
          <w:tcPr>
            <w:tcW w:type="dxa" w:w="38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Владеет решением и улучшает систему.</w:t>
            </w:r>
          </w:p>
        </w:tc>
      </w:tr>
    </w:tbl>
    <w:p>
      <w:pPr>
        <w:spacing w:after="120" w:line="300" w:lineRule="auto"/>
      </w:pPr>
      <w:r>
        <w:rPr>
          <w:rFonts w:ascii="Calibri" w:hAnsi="Calibri"/>
          <w:b w:val="0"/>
          <w:i/>
          <w:color w:val="5E6B75"/>
          <w:sz w:val="22"/>
        </w:rPr>
        <w:t>Контракт автономии: результат, полномочия, ограничения, ресурсы, точки проверки и условия эскалации.</w:t>
      </w:r>
    </w:p>
    <w:p>
      <w:r>
        <w:br w:type="page"/>
      </w:r>
    </w:p>
    <w:p>
      <w:pPr>
        <w:pStyle w:val="Heading1"/>
      </w:pPr>
      <w:r>
        <w:t>6. Доверие, психологическая безопасность и ментальное здоровье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Психологическая безопасность — общее ощущение, что в команде допустимы межличностные риски: задать «глупый» вопрос, не согласиться, признать ошибку или сообщить плохую новость. Она не означает отсутствие стандартов, конфликтов или ответственности.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4680"/>
        <w:gridCol w:w="4680"/>
      </w:tblGrid>
      <w:tr>
        <w:tc>
          <w:tcPr>
            <w:tcW w:type="dxa" w:w="468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Высокие стандарты</w:t>
            </w:r>
          </w:p>
        </w:tc>
        <w:tc>
          <w:tcPr>
            <w:tcW w:type="dxa" w:w="468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Низкие стандарты</w:t>
            </w:r>
          </w:p>
        </w:tc>
      </w:tr>
      <w:tr>
        <w:tc>
          <w:tcPr>
            <w:tcW w:type="dxa" w:w="468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Безопасность + требовательность = обучение и результат</w:t>
            </w:r>
          </w:p>
        </w:tc>
        <w:tc>
          <w:tcPr>
            <w:tcW w:type="dxa" w:w="468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Безопасность без требовательности = зона комфорта.</w:t>
            </w:r>
          </w:p>
        </w:tc>
      </w:tr>
      <w:tr>
        <w:tc>
          <w:tcPr>
            <w:tcW w:type="dxa" w:w="468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Требовательность без безопасности = страх, молчание, поздние риски</w:t>
            </w:r>
          </w:p>
        </w:tc>
        <w:tc>
          <w:tcPr>
            <w:tcW w:type="dxa" w:w="468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Нет ни безопасности, ни стандартов = апатия.</w:t>
            </w:r>
          </w:p>
        </w:tc>
      </w:tr>
    </w:tbl>
    <w:p>
      <w:pPr>
        <w:pStyle w:val="Heading2"/>
      </w:pPr>
      <w:r>
        <w:t>Поведение руководителя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Реагировать на плохую новость вопросом «что мы теперь знаем и что делаем?», а не наказанием за сам факт сообщения.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Признавать собственную неопределенность и исправлять публично неверные решения.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Запрашивать несогласие: «Какой риск я не вижу? Что может опровергнуть план?»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Разделять человека, наблюдаемое поведение, его влияние и требуемое изменение.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Пресекать унижение, насмешку и дискриминацию независимо от статуса автора.</w:t>
      </w:r>
    </w:p>
    <w:p>
      <w:pPr>
        <w:pStyle w:val="Heading2"/>
      </w:pPr>
      <w:r>
        <w:t>Ментальное здоровье: границы ответственности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Команда может уменьшать рабочие факторы риска: хроническую перегрузку, неясность ролей, травлю, постоянную срочность и отсутствие восстановления. Руководитель не должен ставить диагноз или изображать терапевта; при признаках кризиса нужны конфиденциальность, доступ к профессиональной помощи и соблюдение локальных норм.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9B1C1C"/>
          <w:left w:val="single" w:sz="10" w:color="9B1C1C"/>
          <w:bottom w:val="single" w:sz="10" w:color="9B1C1C"/>
          <w:right w:val="single" w:sz="10" w:color="9B1C1C"/>
          <w:insideH w:val="single" w:sz="10" w:color="9B1C1C"/>
          <w:insideV w:val="single" w:sz="10" w:color="9B1C1C"/>
        </w:tblBorders>
      </w:tblPr>
      <w:tblGrid>
        <w:gridCol w:w="9360"/>
      </w:tblGrid>
      <w:tr>
        <w:tc>
          <w:tcPr>
            <w:tcW w:type="dxa" w:w="9360"/>
            <w:vAlign w:val="center"/>
            <w:shd w:fill="FDEEEE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9B1C1C"/>
                <w:sz w:val="24"/>
              </w:rPr>
              <w:t>Красные флаги процесса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Регулярная работа вне согласованных часов • невозможность отключиться • страх отпуска • рост ошибок и конфликтов • человек говорит о безнадежности или угрозе себе. Последний случай требует немедленной передачи профессиональным/экстренным службам по местным правилам.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7. Обратная связь и активное слушание</w:t>
      </w:r>
    </w:p>
    <w:p>
      <w:pPr>
        <w:pStyle w:val="Heading2"/>
      </w:pPr>
      <w:r>
        <w:t>SBI + диалог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300"/>
        <w:gridCol w:w="3100"/>
        <w:gridCol w:w="4960"/>
      </w:tblGrid>
      <w:tr>
        <w:tc>
          <w:tcPr>
            <w:tcW w:type="dxa" w:w="13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Шаг</w:t>
            </w:r>
          </w:p>
        </w:tc>
        <w:tc>
          <w:tcPr>
            <w:tcW w:type="dxa" w:w="31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Формула</w:t>
            </w:r>
          </w:p>
        </w:tc>
        <w:tc>
          <w:tcPr>
            <w:tcW w:type="dxa" w:w="49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Пример</w:t>
            </w:r>
          </w:p>
        </w:tc>
      </w:tr>
      <w:tr>
        <w:tc>
          <w:tcPr>
            <w:tcW w:type="dxa" w:w="1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S — Situation</w:t>
            </w:r>
          </w:p>
        </w:tc>
        <w:tc>
          <w:tcPr>
            <w:tcW w:type="dxa" w:w="3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Когда и где произошло</w:t>
            </w:r>
          </w:p>
        </w:tc>
        <w:tc>
          <w:tcPr>
            <w:tcW w:type="dxa" w:w="4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«На вчерашней презентации клиенту…»</w:t>
            </w:r>
          </w:p>
        </w:tc>
      </w:tr>
      <w:tr>
        <w:tc>
          <w:tcPr>
            <w:tcW w:type="dxa" w:w="1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B — Behavior</w:t>
            </w:r>
          </w:p>
        </w:tc>
        <w:tc>
          <w:tcPr>
            <w:tcW w:type="dxa" w:w="3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Наблюдаемое действие без ярлыка</w:t>
            </w:r>
          </w:p>
        </w:tc>
        <w:tc>
          <w:tcPr>
            <w:tcW w:type="dxa" w:w="4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«…ты трижды перебил коллегу во время технического объяснения…»</w:t>
            </w:r>
          </w:p>
        </w:tc>
      </w:tr>
      <w:tr>
        <w:tc>
          <w:tcPr>
            <w:tcW w:type="dxa" w:w="1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I — Impact</w:t>
            </w:r>
          </w:p>
        </w:tc>
        <w:tc>
          <w:tcPr>
            <w:tcW w:type="dxa" w:w="3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Последствие для работы/людей</w:t>
            </w:r>
          </w:p>
        </w:tc>
        <w:tc>
          <w:tcPr>
            <w:tcW w:type="dxa" w:w="4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«…клиент увидел несогласованность и стал проверять компетенции команды.»</w:t>
            </w:r>
          </w:p>
        </w:tc>
      </w:tr>
      <w:tr>
        <w:tc>
          <w:tcPr>
            <w:tcW w:type="dxa" w:w="13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Диалог</w:t>
            </w:r>
          </w:p>
        </w:tc>
        <w:tc>
          <w:tcPr>
            <w:tcW w:type="dxa" w:w="3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Проверка восприятия и решение</w:t>
            </w:r>
          </w:p>
        </w:tc>
        <w:tc>
          <w:tcPr>
            <w:tcW w:type="dxa" w:w="49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«Как ты это видишь? Что сделаем на следующей презентации?»</w:t>
            </w:r>
          </w:p>
        </w:tc>
      </w:tr>
    </w:tbl>
    <w:p>
      <w:pPr>
        <w:spacing w:after="120" w:line="300" w:lineRule="auto"/>
      </w:pPr>
      <w:r>
        <w:rPr>
          <w:rFonts w:ascii="Calibri" w:hAnsi="Calibri"/>
          <w:b w:val="0"/>
          <w:i/>
          <w:color w:val="5E6B75"/>
          <w:sz w:val="22"/>
        </w:rPr>
        <w:t>SBI полезна как структура конкретизации, но качество разговора определяется не аббревиатурой, а точностью фактов, своевременностью, уважением и реальным совместным поиском изменения.</w:t>
      </w:r>
    </w:p>
    <w:p>
      <w:pPr>
        <w:pStyle w:val="Heading2"/>
      </w:pPr>
      <w:r>
        <w:t>Активное слушание: 4A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2200"/>
        <w:gridCol w:w="7160"/>
      </w:tblGrid>
      <w:tr>
        <w:tc>
          <w:tcPr>
            <w:tcW w:type="dxa" w:w="22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Шаг</w:t>
            </w:r>
          </w:p>
        </w:tc>
        <w:tc>
          <w:tcPr>
            <w:tcW w:type="dxa" w:w="71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Действие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Attention — внимание</w:t>
            </w:r>
          </w:p>
        </w:tc>
        <w:tc>
          <w:tcPr>
            <w:tcW w:type="dxa" w:w="71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Убрать отвлечения; не формулировать ответ, пока человек говорит.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Acknowledge — подтверждение</w:t>
            </w:r>
          </w:p>
        </w:tc>
        <w:tc>
          <w:tcPr>
            <w:tcW w:type="dxa" w:w="71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Перефразировать: «Правильно ли я понял, что…»; назвать эмоцию осторожно, без диагноза.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Ask — вопрос</w:t>
            </w:r>
          </w:p>
        </w:tc>
        <w:tc>
          <w:tcPr>
            <w:tcW w:type="dxa" w:w="71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Уточнить интересы, факты и трудность: «Что для тебя сейчас самое важное?»</w:t>
            </w:r>
          </w:p>
        </w:tc>
      </w:tr>
      <w:tr>
        <w:tc>
          <w:tcPr>
            <w:tcW w:type="dxa" w:w="22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Action — действие</w:t>
            </w:r>
          </w:p>
        </w:tc>
        <w:tc>
          <w:tcPr>
            <w:tcW w:type="dxa" w:w="71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Согласовать следующий шаг, владельца и срок; если решение не нужно — подтвердить, что человек услышан.</w:t>
            </w:r>
          </w:p>
        </w:tc>
      </w:tr>
    </w:tbl>
    <w:p>
      <w:pPr>
        <w:pStyle w:val="Heading2"/>
      </w:pPr>
      <w:r>
        <w:t>Правила сложного разговора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Говорить напрямую с участником, а не через третьих лиц, если нет риска безопасности.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Начинать с общей цели и проверяемых наблюдений.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Разделять намерение и влияние: хорошее намерение не отменяет последствия.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Не требовать немедленного согласия; дать время осмыслить и зафиксировать договоренность.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При конфликте интересов определить владельца решения и принцип эскалации.</w:t>
      </w:r>
    </w:p>
    <w:p>
      <w:r>
        <w:br w:type="page"/>
      </w:r>
    </w:p>
    <w:p>
      <w:pPr>
        <w:pStyle w:val="Heading1"/>
      </w:pPr>
      <w:r>
        <w:t>8. Культура развития и обучения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Обучающаяся команда не просто накапливает курсы. Она превращает опыт в изменение поведения и системы: формулирует гипотезу, пробует, получает обратную связь, извлекает правило и обновляет рабочий стандарт.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800"/>
        <w:gridCol w:w="3900"/>
        <w:gridCol w:w="3660"/>
      </w:tblGrid>
      <w:tr>
        <w:tc>
          <w:tcPr>
            <w:tcW w:type="dxa" w:w="18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Механизм</w:t>
            </w:r>
          </w:p>
        </w:tc>
        <w:tc>
          <w:tcPr>
            <w:tcW w:type="dxa" w:w="39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Практика</w:t>
            </w:r>
          </w:p>
        </w:tc>
        <w:tc>
          <w:tcPr>
            <w:tcW w:type="dxa" w:w="36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Доказательство</w:t>
            </w:r>
          </w:p>
        </w:tc>
      </w:tr>
      <w:tr>
        <w:tc>
          <w:tcPr>
            <w:tcW w:type="dxa" w:w="1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Извлечение из памяти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Короткий вопрос/задача без подсказки после изучения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Сотрудник воспроизводит и применяет, а не узнает знакомый текст.</w:t>
            </w:r>
          </w:p>
        </w:tc>
      </w:tr>
      <w:tr>
        <w:tc>
          <w:tcPr>
            <w:tcW w:type="dxa" w:w="1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Интервальное повторение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Возврат к ключевым действиям через увеличивающиеся интервалы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Сохранение навыка через недели, а не только сразу после курса.</w:t>
            </w:r>
          </w:p>
        </w:tc>
      </w:tr>
      <w:tr>
        <w:tc>
          <w:tcPr>
            <w:tcW w:type="dxa" w:w="1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Практика в контексте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Кейс, симуляция, shadowing, реальная задача с безопасной проверкой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Перенос в рабочую ситуацию.</w:t>
            </w:r>
          </w:p>
        </w:tc>
      </w:tr>
      <w:tr>
        <w:tc>
          <w:tcPr>
            <w:tcW w:type="dxa" w:w="1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Двойной цикл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Исправить действие и проверить правило/допущение, породившее ошибку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Обновлен процесс, шаблон, критерий или политика.</w:t>
            </w:r>
          </w:p>
        </w:tc>
      </w:tr>
      <w:tr>
        <w:tc>
          <w:tcPr>
            <w:tcW w:type="dxa" w:w="1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Ретроспектива</w:t>
            </w:r>
          </w:p>
        </w:tc>
        <w:tc>
          <w:tcPr>
            <w:tcW w:type="dxa" w:w="3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Одно изменение на 1–2 недели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Есть владелец, срок и метрика эффекта.</w:t>
            </w:r>
          </w:p>
        </w:tc>
      </w:tr>
    </w:tbl>
    <w:p>
      <w:pPr>
        <w:pStyle w:val="Heading2"/>
      </w:pPr>
      <w:r>
        <w:t>Мини‑эксперимент улучшения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Проблема: опишите наблюдаемый разрыв и исходную частоту/время/качество.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Гипотеза: «Если мы изменим X, то метрика Y улучшится, потому что Z».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Изменение: одно действие, которое команда реально может выполнить 1–2 недели.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Ограничения: что нельзя ухудшить — качество, безопасность, нагрузку клиента.</w:t>
      </w:r>
    </w:p>
    <w:p>
      <w:pPr>
        <w:pStyle w:val="ListNumber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2"/>
        </w:rPr>
        <w:t>Решение: закрепить, изменить или отменить на основании данных и качественной обратной связи.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c>
          <w:tcPr>
            <w:tcW w:type="dxa" w:w="9360"/>
            <w:vAlign w:val="center"/>
            <w:shd w:fill="EEF3F8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2E74B5"/>
                <w:sz w:val="24"/>
              </w:rPr>
              <w:t>Актуальность навыков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WEF Future of Jobs 2025 сообщает: опрошенные работодатели ожидают изменения 39% ключевых навыков к 2030 году; 63% называют разрыв навыков крупным барьером трансформации. Это прогноз работодателей, а не точное предсказание для каждой профессии.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 Команда в эпоху ИИ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ИИ лучше рассматривать как участника рабочего контура без собственных полномочий и ответственности. Он может ускорять поиск вариантов, черновики, суммаризацию и проверку согласованности, но цель, критерии, доступ к данным и финальное решение остаются у назначенных людей.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2100"/>
        <w:gridCol w:w="4000"/>
        <w:gridCol w:w="3260"/>
      </w:tblGrid>
      <w:tr>
        <w:tc>
          <w:tcPr>
            <w:tcW w:type="dxa" w:w="21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Задача ИИ</w:t>
            </w:r>
          </w:p>
        </w:tc>
        <w:tc>
          <w:tcPr>
            <w:tcW w:type="dxa" w:w="40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Человеческий контроль</w:t>
            </w:r>
          </w:p>
        </w:tc>
        <w:tc>
          <w:tcPr>
            <w:tcW w:type="dxa" w:w="32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Артефакт</w:t>
            </w:r>
          </w:p>
        </w:tc>
      </w:tr>
      <w:tr>
        <w:tc>
          <w:tcPr>
            <w:tcW w:type="dxa" w:w="2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Черновик и варианты</w:t>
            </w:r>
          </w:p>
        </w:tc>
        <w:tc>
          <w:tcPr>
            <w:tcW w:type="dxa" w:w="40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Проверка фактов, соответствия цели и тона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Версия с пометкой об ИИ и владельцем.</w:t>
            </w:r>
          </w:p>
        </w:tc>
      </w:tr>
      <w:tr>
        <w:tc>
          <w:tcPr>
            <w:tcW w:type="dxa" w:w="2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Суммаризация встречи</w:t>
            </w:r>
          </w:p>
        </w:tc>
        <w:tc>
          <w:tcPr>
            <w:tcW w:type="dxa" w:w="40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Сверка участниками; отделение решения от предположения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Протокол и decision log.</w:t>
            </w:r>
          </w:p>
        </w:tc>
      </w:tr>
      <w:tr>
        <w:tc>
          <w:tcPr>
            <w:tcW w:type="dxa" w:w="2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Поиск в базе знаний</w:t>
            </w:r>
          </w:p>
        </w:tc>
        <w:tc>
          <w:tcPr>
            <w:tcW w:type="dxa" w:w="40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Ссылка на первоисточник и дата актуальности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Ответ с цитируемыми источниками.</w:t>
            </w:r>
          </w:p>
        </w:tc>
      </w:tr>
      <w:tr>
        <w:tc>
          <w:tcPr>
            <w:tcW w:type="dxa" w:w="2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Оценка/экзамен</w:t>
            </w:r>
          </w:p>
        </w:tc>
        <w:tc>
          <w:tcPr>
            <w:tcW w:type="dxa" w:w="40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Разделить автора материала, генератор вопросов и независимый критерий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Банк заданий, рубрика, журнал версий.</w:t>
            </w:r>
          </w:p>
        </w:tc>
      </w:tr>
      <w:tr>
        <w:tc>
          <w:tcPr>
            <w:tcW w:type="dxa" w:w="2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Рекомендация решения</w:t>
            </w:r>
          </w:p>
        </w:tc>
        <w:tc>
          <w:tcPr>
            <w:tcW w:type="dxa" w:w="40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Человеческое подтверждение соразмерно риску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Decision record: данные, модель, ограничения, решение.</w:t>
            </w:r>
          </w:p>
        </w:tc>
      </w:tr>
      <w:tr>
        <w:tc>
          <w:tcPr>
            <w:tcW w:type="dxa" w:w="21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Автоматическое действие</w:t>
            </w:r>
          </w:p>
        </w:tc>
        <w:tc>
          <w:tcPr>
            <w:tcW w:type="dxa" w:w="40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Лимиты, журнал, откат, эскалация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Audit log и план восстановления.</w:t>
            </w:r>
          </w:p>
        </w:tc>
      </w:tr>
    </w:tbl>
    <w:p>
      <w:pPr>
        <w:pStyle w:val="Heading2"/>
      </w:pPr>
      <w:r>
        <w:t>Минимальная AI‑политика команды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Не вводить секреты, персональные и клиентские данные без разрешенного контура.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Требовать источники для проверяемых утверждений; не путать гладкий текст с доказательством.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Назначать владельца результата и уровень обязательной проверки.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Фиксировать модель/версию, существенный промпт, данные и изменения для критичных процессов.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Проверять качество на заранее собранных примерах, включая ошибки и пограничные случаи.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Предусматривать отказ, ручной режим и исправление ошибочного результата.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7661D1"/>
          <w:left w:val="single" w:sz="10" w:color="7661D1"/>
          <w:bottom w:val="single" w:sz="10" w:color="7661D1"/>
          <w:right w:val="single" w:sz="10" w:color="7661D1"/>
          <w:insideH w:val="single" w:sz="10" w:color="7661D1"/>
          <w:insideV w:val="single" w:sz="10" w:color="7661D1"/>
        </w:tblBorders>
      </w:tblPr>
      <w:tblGrid>
        <w:gridCol w:w="9360"/>
      </w:tblGrid>
      <w:tr>
        <w:tc>
          <w:tcPr>
            <w:tcW w:type="dxa" w:w="9360"/>
            <w:vAlign w:val="center"/>
            <w:shd w:fill="F6F3FF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7661D1"/>
                <w:sz w:val="24"/>
              </w:rPr>
              <w:t>Архитектурный принцип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В обучении персонала нельзя оставлять одной модели одновременно роли преподавателя, автора экзамена и экзаменатора. Для MVP разделите: утвержденный контент → независимый банк/рубрика → отдельная проверка → человеческая апелляция и аудит.</w:t>
            </w:r>
          </w:p>
        </w:tc>
      </w:tr>
    </w:tbl>
    <w:p>
      <w:pPr>
        <w:spacing w:after="20"/>
      </w:pPr>
    </w:p>
    <w:p>
      <w:pPr>
        <w:spacing w:after="120" w:line="300" w:lineRule="auto"/>
      </w:pPr>
      <w:r>
        <w:rPr>
          <w:rFonts w:ascii="Calibri" w:hAnsi="Calibri"/>
          <w:b w:val="0"/>
          <w:i/>
          <w:color w:val="5E6B75"/>
          <w:sz w:val="22"/>
        </w:rPr>
        <w:t>NIST AI RMF предлагает четыре функции управления риском: Govern, Map, Measure, Manage. Для команды это означает: определить правила и ответственность, описать контекст применения, измерять качество/вред и управлять выявленными рисками.</w:t>
      </w:r>
    </w:p>
    <w:p>
      <w:r>
        <w:br w:type="page"/>
      </w:r>
    </w:p>
    <w:p>
      <w:pPr>
        <w:pStyle w:val="Heading1"/>
      </w:pPr>
      <w:r>
        <w:t>10. План внедрения на 30 дней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600"/>
        <w:gridCol w:w="4500"/>
        <w:gridCol w:w="3260"/>
      </w:tblGrid>
      <w:tr>
        <w:tc>
          <w:tcPr>
            <w:tcW w:type="dxa" w:w="16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Период</w:t>
            </w:r>
          </w:p>
        </w:tc>
        <w:tc>
          <w:tcPr>
            <w:tcW w:type="dxa" w:w="45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Действия</w:t>
            </w:r>
          </w:p>
        </w:tc>
        <w:tc>
          <w:tcPr>
            <w:tcW w:type="dxa" w:w="32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Критерий завершения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Дни 1–3</w:t>
            </w:r>
          </w:p>
        </w:tc>
        <w:tc>
          <w:tcPr>
            <w:tcW w:type="dxa" w:w="4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Диагностика 10 вопросов; карта каналов и решений; интервью с 3–5 участниками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Выбраны 1–2 главные проблемы и исходные метрики.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Дни 4–7</w:t>
            </w:r>
          </w:p>
        </w:tc>
        <w:tc>
          <w:tcPr>
            <w:tcW w:type="dxa" w:w="4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Командный контракт: цель, RACI, каналы, сроки ответа, эскалации, границы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Контракт принят и доступен по одной ссылке.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Неделя 2</w:t>
            </w:r>
          </w:p>
        </w:tc>
        <w:tc>
          <w:tcPr>
            <w:tcW w:type="dxa" w:w="4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Запустить decision log, шаблон задачи и новый ритм встреч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менее 80% решений имеют владельца и срок.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Неделя 3</w:t>
            </w:r>
          </w:p>
        </w:tc>
        <w:tc>
          <w:tcPr>
            <w:tcW w:type="dxa" w:w="4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Практика SBI/4A; ретро; карта функций Белбина без ярлыков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Один наблюдаемый эксперимент поведения.</w:t>
            </w:r>
          </w:p>
        </w:tc>
      </w:tr>
      <w:tr>
        <w:tc>
          <w:tcPr>
            <w:tcW w:type="dxa" w:w="16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Неделя 4</w:t>
            </w:r>
          </w:p>
        </w:tc>
        <w:tc>
          <w:tcPr>
            <w:tcW w:type="dxa" w:w="45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Проверить метрики, нагрузку и обратную связь; обновить стандарт</w:t>
            </w:r>
          </w:p>
        </w:tc>
        <w:tc>
          <w:tcPr>
            <w:tcW w:type="dxa" w:w="32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Решение закрепить/скорректировать/отменить с обоснованием.</w:t>
            </w:r>
          </w:p>
        </w:tc>
      </w:tr>
    </w:tbl>
    <w:p>
      <w:pPr>
        <w:pStyle w:val="Heading2"/>
      </w:pPr>
      <w:r>
        <w:t>Минимальный набор метрик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9D3DD"/>
          <w:left w:val="single" w:sz="6" w:color="C9D3DD"/>
          <w:bottom w:val="single" w:sz="6" w:color="C9D3DD"/>
          <w:right w:val="single" w:sz="6" w:color="C9D3DD"/>
          <w:insideH w:val="single" w:sz="6" w:color="C9D3DD"/>
          <w:insideV w:val="single" w:sz="6" w:color="C9D3DD"/>
        </w:tblBorders>
      </w:tblPr>
      <w:tblGrid>
        <w:gridCol w:w="1900"/>
        <w:gridCol w:w="3800"/>
        <w:gridCol w:w="3660"/>
      </w:tblGrid>
      <w:tr>
        <w:tc>
          <w:tcPr>
            <w:tcW w:type="dxa" w:w="19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Метрика</w:t>
            </w:r>
          </w:p>
        </w:tc>
        <w:tc>
          <w:tcPr>
            <w:tcW w:type="dxa" w:w="380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Как считать</w:t>
            </w:r>
          </w:p>
        </w:tc>
        <w:tc>
          <w:tcPr>
            <w:tcW w:type="dxa" w:w="3660"/>
            <w:vAlign w:val="center"/>
            <w:shd w:fill="E8EEF5"/>
          </w:tcPr>
          <w:p>
            <w:r/>
            <w:r>
              <w:rPr>
                <w:rFonts w:ascii="Calibri" w:hAnsi="Calibri"/>
                <w:b/>
                <w:i w:val="0"/>
                <w:color w:val="17324D"/>
                <w:sz w:val="20"/>
              </w:rPr>
              <w:t>Анти‑метрика / ограничение</w:t>
            </w:r>
          </w:p>
        </w:tc>
      </w:tr>
      <w:tr>
        <w:tc>
          <w:tcPr>
            <w:tcW w:type="dxa" w:w="1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Время до выявления блокера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От появления до фиксации/эскалации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поощрять ложную срочность.</w:t>
            </w:r>
          </w:p>
        </w:tc>
      </w:tr>
      <w:tr>
        <w:tc>
          <w:tcPr>
            <w:tcW w:type="dxa" w:w="1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Доля решений с владельцем и сроком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Заполненные decision records / все решения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считать мелкие сообщения решениями.</w:t>
            </w:r>
          </w:p>
        </w:tc>
      </w:tr>
      <w:tr>
        <w:tc>
          <w:tcPr>
            <w:tcW w:type="dxa" w:w="1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Предсказуемость завершения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Выполнено в срок / обещано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Контролировать качество и перенос объема.</w:t>
            </w:r>
          </w:p>
        </w:tc>
      </w:tr>
      <w:tr>
        <w:tc>
          <w:tcPr>
            <w:tcW w:type="dxa" w:w="1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Повторяемость ошибок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Число повторов одной причины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скрывать ошибки ради показателя.</w:t>
            </w:r>
          </w:p>
        </w:tc>
      </w:tr>
      <w:tr>
        <w:tc>
          <w:tcPr>
            <w:tcW w:type="dxa" w:w="1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Безопасность голоса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Короткий анонимный pulse + примеры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использовать для оценки отдельных людей.</w:t>
            </w:r>
          </w:p>
        </w:tc>
      </w:tr>
      <w:tr>
        <w:tc>
          <w:tcPr>
            <w:tcW w:type="dxa" w:w="1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Нагрузка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Сверхурочная работа, отпуск, самооценка восстановления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собирать лишние чувствительные данные.</w:t>
            </w:r>
          </w:p>
        </w:tc>
      </w:tr>
      <w:tr>
        <w:tc>
          <w:tcPr>
            <w:tcW w:type="dxa" w:w="19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Качество ИИ</w:t>
            </w:r>
          </w:p>
        </w:tc>
        <w:tc>
          <w:tcPr>
            <w:tcW w:type="dxa" w:w="380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Точность на тест-наборе, доля ручных исправлений, инциденты</w:t>
            </w:r>
          </w:p>
        </w:tc>
        <w:tc>
          <w:tcPr>
            <w:tcW w:type="dxa" w:w="3660"/>
          </w:tcPr>
          <w:p>
            <w:pPr>
              <w:spacing w:after="20" w:line="252" w:lineRule="auto"/>
            </w:pPr>
            <w:r/>
            <w:r>
              <w:rPr>
                <w:rFonts w:ascii="Calibri" w:hAnsi="Calibri"/>
                <w:b w:val="0"/>
                <w:i w:val="0"/>
                <w:color w:val="17212B"/>
                <w:sz w:val="17"/>
              </w:rPr>
              <w:t>Не заменять проверку «удовлетворенностью текстом».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216E4E"/>
          <w:left w:val="single" w:sz="10" w:color="216E4E"/>
          <w:bottom w:val="single" w:sz="10" w:color="216E4E"/>
          <w:right w:val="single" w:sz="10" w:color="216E4E"/>
          <w:insideH w:val="single" w:sz="10" w:color="216E4E"/>
          <w:insideV w:val="single" w:sz="10" w:color="216E4E"/>
        </w:tblBorders>
      </w:tblPr>
      <w:tblGrid>
        <w:gridCol w:w="9360"/>
      </w:tblGrid>
      <w:tr>
        <w:tc>
          <w:tcPr>
            <w:tcW w:type="dxa" w:w="9360"/>
            <w:vAlign w:val="center"/>
            <w:shd w:fill="EDF7F2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216E4E"/>
                <w:sz w:val="24"/>
              </w:rPr>
              <w:t>SMART‑формулировка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До 30.09.2026 увеличить долю зафиксированных командных решений с владельцем и сроком с исходного значения до 90%, еженедельно проверяя случайную выборку из 10 решений; владелец — руководитель проекта, источник — decision log.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11. Готовые шаблоны</w:t>
      </w:r>
    </w:p>
    <w:p>
      <w:pPr>
        <w:pStyle w:val="Heading2"/>
      </w:pPr>
      <w:r>
        <w:t>Командный контракт — одна страница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Результат и критерии успеха: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Границы и зависимости: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A/R/C/I по основным результатам: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Каналы, срок ответа, срочность: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Фиксация решений и задач: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Блокеры и конфликты: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Обратная связь и недопустимое поведение: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Рабочие часы и восстановление: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ИИ, данные и проверка: …</w:t>
      </w:r>
    </w:p>
    <w:p>
      <w:pPr>
        <w:pStyle w:val="ListBullet"/>
        <w:spacing w:after="40" w:line="276" w:lineRule="auto"/>
        <w:ind w:left="540" w:hanging="271"/>
      </w:pPr>
      <w:r>
        <w:rPr>
          <w:rFonts w:ascii="Calibri" w:hAnsi="Calibri"/>
          <w:b w:val="0"/>
          <w:i w:val="0"/>
          <w:color w:val="17212B"/>
          <w:sz w:val="20"/>
        </w:rPr>
        <w:t>□ Дата пересмотра: …</w:t>
      </w:r>
    </w:p>
    <w:p>
      <w:pPr>
        <w:pStyle w:val="Heading2"/>
      </w:pPr>
      <w:r>
        <w:t>Шаблон постановки задачи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c>
          <w:tcPr>
            <w:tcW w:type="dxa" w:w="9360"/>
            <w:vAlign w:val="center"/>
            <w:shd w:fill="EEF3F8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2E74B5"/>
                <w:sz w:val="24"/>
              </w:rPr>
              <w:t>Задача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Контекст • результат • границы • данные • владелец • исполнитель • зависимости • приемка • срок • контрольная точка • эскалация.</w:t>
            </w:r>
          </w:p>
        </w:tc>
      </w:tr>
    </w:tbl>
    <w:p>
      <w:pPr>
        <w:spacing w:after="20"/>
      </w:pPr>
    </w:p>
    <w:p>
      <w:pPr>
        <w:pStyle w:val="Heading2"/>
      </w:pPr>
      <w:r>
        <w:t>Шаблон статуса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c>
          <w:tcPr>
            <w:tcW w:type="dxa" w:w="9360"/>
            <w:vAlign w:val="center"/>
            <w:shd w:fill="EEF3F8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2E74B5"/>
                <w:sz w:val="24"/>
              </w:rPr>
              <w:t>Статус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Результат • следующий шаг • отклонение • блокер/риск • нужная помощь/решение • владелец • срок.</w:t>
            </w:r>
          </w:p>
        </w:tc>
      </w:tr>
    </w:tbl>
    <w:p>
      <w:pPr>
        <w:spacing w:after="20"/>
      </w:pPr>
    </w:p>
    <w:p>
      <w:pPr>
        <w:pStyle w:val="Heading2"/>
      </w:pPr>
      <w:r>
        <w:t>Шаблон ретроспективы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c>
          <w:tcPr>
            <w:tcW w:type="dxa" w:w="9360"/>
            <w:vAlign w:val="center"/>
            <w:shd w:fill="EEF3F8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2E74B5"/>
                <w:sz w:val="24"/>
              </w:rPr>
              <w:t>Ретро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Ожидание • факты • что помогло/мешало • системное допущение • один эксперимент • владелец • метрика • дата решения.</w:t>
            </w:r>
          </w:p>
        </w:tc>
      </w:tr>
    </w:tbl>
    <w:p>
      <w:pPr>
        <w:spacing w:after="20"/>
      </w:pPr>
    </w:p>
    <w:p>
      <w:pPr>
        <w:pStyle w:val="Heading2"/>
      </w:pPr>
      <w:r>
        <w:t>Шаблон проверки AI‑результата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7661D1"/>
          <w:left w:val="single" w:sz="10" w:color="7661D1"/>
          <w:bottom w:val="single" w:sz="10" w:color="7661D1"/>
          <w:right w:val="single" w:sz="10" w:color="7661D1"/>
          <w:insideH w:val="single" w:sz="10" w:color="7661D1"/>
          <w:insideV w:val="single" w:sz="10" w:color="7661D1"/>
        </w:tblBorders>
      </w:tblPr>
      <w:tblGrid>
        <w:gridCol w:w="9360"/>
      </w:tblGrid>
      <w:tr>
        <w:tc>
          <w:tcPr>
            <w:tcW w:type="dxa" w:w="9360"/>
            <w:vAlign w:val="center"/>
            <w:shd w:fill="F6F3FF"/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i w:val="0"/>
                <w:color w:val="7661D1"/>
                <w:sz w:val="24"/>
              </w:rPr>
              <w:t>AI‑проверка</w:t>
            </w:r>
          </w:p>
          <w:p>
            <w:pPr>
              <w:spacing w:after="60" w:line="288" w:lineRule="auto"/>
            </w:pPr>
            <w:r>
              <w:rPr>
                <w:rFonts w:ascii="Calibri" w:hAnsi="Calibri"/>
                <w:b w:val="0"/>
                <w:i w:val="0"/>
                <w:color w:val="17212B"/>
                <w:sz w:val="21"/>
              </w:rPr>
              <w:t>□ цель • □ источники • □ факты/расчеты • □ данные • □ риски • □ одобрение человека • □ версия.</w:t>
            </w:r>
          </w:p>
        </w:tc>
      </w:tr>
    </w:tbl>
    <w:p>
      <w:pPr>
        <w:spacing w:after="20"/>
      </w:pPr>
    </w:p>
    <w:p>
      <w:pPr>
        <w:pStyle w:val="Heading1"/>
      </w:pPr>
      <w:r>
        <w:t>12. Литература и современные источники</w:t>
      </w:r>
    </w:p>
    <w:p>
      <w:pPr>
        <w:spacing w:after="120" w:line="300" w:lineRule="auto"/>
      </w:pPr>
      <w:r>
        <w:rPr>
          <w:rFonts w:ascii="Calibri" w:hAnsi="Calibri"/>
          <w:b w:val="0"/>
          <w:i/>
          <w:color w:val="5E6B75"/>
          <w:sz w:val="22"/>
        </w:rPr>
        <w:t>Ниже соединены фундаментальные труды, исследовательские статьи и актуальные руководства. Популярные управленческие модели следует использовать как гипотезы и язык обсуждения, а не как неоспоримые законы.</w:t>
      </w:r>
    </w:p>
    <w:p>
      <w:pPr>
        <w:pStyle w:val="Heading2"/>
      </w:pPr>
      <w:r>
        <w:t>Фундаментальные работы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Аристотель.</w:t>
      </w:r>
      <w:r>
        <w:rPr>
          <w:rFonts w:ascii="Calibri" w:hAnsi="Calibri"/>
          <w:b w:val="0"/>
          <w:i w:val="0"/>
          <w:color w:val="17212B"/>
          <w:sz w:val="22"/>
        </w:rPr>
        <w:t xml:space="preserve"> «Риторика»; «Никомахова этика». Аргументация, характер говорящего, практическое рассуждение.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Адам Смит (1776).</w:t>
      </w:r>
      <w:r>
        <w:rPr>
          <w:rFonts w:ascii="Calibri" w:hAnsi="Calibri"/>
          <w:b w:val="0"/>
          <w:i w:val="0"/>
          <w:color w:val="17212B"/>
          <w:sz w:val="22"/>
        </w:rPr>
        <w:t xml:space="preserve"> «Исследование о природе и причинах богатства народов». Разделение труда и координация.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Ф. У. Тейлор (1911).</w:t>
      </w:r>
      <w:r>
        <w:rPr>
          <w:rFonts w:ascii="Calibri" w:hAnsi="Calibri"/>
          <w:b w:val="0"/>
          <w:i w:val="0"/>
          <w:color w:val="17212B"/>
          <w:sz w:val="22"/>
        </w:rPr>
        <w:t xml:space="preserve"> The Principles of Scientific Management. Стандартизация труда; читать вместе с критикой редукции человека к операции.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Анри Файоль (1916).</w:t>
      </w:r>
      <w:r>
        <w:rPr>
          <w:rFonts w:ascii="Calibri" w:hAnsi="Calibri"/>
          <w:b w:val="0"/>
          <w:i w:val="0"/>
          <w:color w:val="17212B"/>
          <w:sz w:val="22"/>
        </w:rPr>
        <w:t xml:space="preserve"> General and Industrial Management. Планирование, организация, координация, контроль.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Мэри Паркер Фоллетт (1924).</w:t>
      </w:r>
      <w:r>
        <w:rPr>
          <w:rFonts w:ascii="Calibri" w:hAnsi="Calibri"/>
          <w:b w:val="0"/>
          <w:i w:val="0"/>
          <w:color w:val="17212B"/>
          <w:sz w:val="22"/>
        </w:rPr>
        <w:t xml:space="preserve"> Creative Experience; позднее Dynamic Administration. Конструктивный конфликт и «power with».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Честер Барнард (1938).</w:t>
      </w:r>
      <w:r>
        <w:rPr>
          <w:rFonts w:ascii="Calibri" w:hAnsi="Calibri"/>
          <w:b w:val="0"/>
          <w:i w:val="0"/>
          <w:color w:val="17212B"/>
          <w:sz w:val="22"/>
        </w:rPr>
        <w:t xml:space="preserve"> The Functions of the Executive. Сотрудничество, коммуникация и принятие полномочий.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Питер Друкер (1954).</w:t>
      </w:r>
      <w:r>
        <w:rPr>
          <w:rFonts w:ascii="Calibri" w:hAnsi="Calibri"/>
          <w:b w:val="0"/>
          <w:i w:val="0"/>
          <w:color w:val="17212B"/>
          <w:sz w:val="22"/>
        </w:rPr>
        <w:t xml:space="preserve"> The Practice of Management. Цели, ответственность, знания и результат.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Уилфред Бион (1961).</w:t>
      </w:r>
      <w:r>
        <w:rPr>
          <w:rFonts w:ascii="Calibri" w:hAnsi="Calibri"/>
          <w:b w:val="0"/>
          <w:i w:val="0"/>
          <w:color w:val="17212B"/>
          <w:sz w:val="22"/>
        </w:rPr>
        <w:t xml:space="preserve"> Experiences in Groups. Неосознаваемая динамика группы.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Брюс Такман (1965).</w:t>
      </w:r>
      <w:r>
        <w:rPr>
          <w:rFonts w:ascii="Calibri" w:hAnsi="Calibri"/>
          <w:b w:val="0"/>
          <w:i w:val="0"/>
          <w:color w:val="17212B"/>
          <w:sz w:val="22"/>
        </w:rPr>
        <w:t xml:space="preserve"> Developmental Sequence in Small Groups. Этапы развития группы; описательная модель, а не жесткий календарь.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Мередит Белбин (1981/2010).</w:t>
      </w:r>
      <w:r>
        <w:rPr>
          <w:rFonts w:ascii="Calibri" w:hAnsi="Calibri"/>
          <w:b w:val="0"/>
          <w:i w:val="0"/>
          <w:color w:val="17212B"/>
          <w:sz w:val="22"/>
        </w:rPr>
        <w:t xml:space="preserve"> Management Teams; Team Roles at Work. Поведенческие командные роли и их баланс.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Крис Арджирис, Дональд Шён (1978).</w:t>
      </w:r>
      <w:r>
        <w:rPr>
          <w:rFonts w:ascii="Calibri" w:hAnsi="Calibri"/>
          <w:b w:val="0"/>
          <w:i w:val="0"/>
          <w:color w:val="17212B"/>
          <w:sz w:val="22"/>
        </w:rPr>
        <w:t xml:space="preserve"> Organizational Learning. Одинарный и двойной цикл обучения.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У. Эдвардс Деминг (1986).</w:t>
      </w:r>
      <w:r>
        <w:rPr>
          <w:rFonts w:ascii="Calibri" w:hAnsi="Calibri"/>
          <w:b w:val="0"/>
          <w:i w:val="0"/>
          <w:color w:val="17212B"/>
          <w:sz w:val="22"/>
        </w:rPr>
        <w:t xml:space="preserve"> Out of the Crisis. Системное качество, вариация и улучшение процессов.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Питер Сенге (1990).</w:t>
      </w:r>
      <w:r>
        <w:rPr>
          <w:rFonts w:ascii="Calibri" w:hAnsi="Calibri"/>
          <w:b w:val="0"/>
          <w:i w:val="0"/>
          <w:color w:val="17212B"/>
          <w:sz w:val="22"/>
        </w:rPr>
        <w:t xml:space="preserve"> The Fifth Discipline. Обучающаяся организация и системное мышление.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Эдгар Шейн.</w:t>
      </w:r>
      <w:r>
        <w:rPr>
          <w:rFonts w:ascii="Calibri" w:hAnsi="Calibri"/>
          <w:b w:val="0"/>
          <w:i w:val="0"/>
          <w:color w:val="17212B"/>
          <w:sz w:val="22"/>
        </w:rPr>
        <w:t xml:space="preserve"> Organizational Culture and Leadership. Культура как разделяемые базовые допущения.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Эми Эдмондсон (1999; 2019).</w:t>
      </w:r>
      <w:r>
        <w:rPr>
          <w:rFonts w:ascii="Calibri" w:hAnsi="Calibri"/>
          <w:b w:val="0"/>
          <w:i w:val="0"/>
          <w:color w:val="17212B"/>
          <w:sz w:val="22"/>
        </w:rPr>
        <w:t xml:space="preserve"> Psychological Safety and Learning Behavior in Work Teams; The Fearless Organization.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Дж. Ричард Хэкман (2002).</w:t>
      </w:r>
      <w:r>
        <w:rPr>
          <w:rFonts w:ascii="Calibri" w:hAnsi="Calibri"/>
          <w:b w:val="0"/>
          <w:i w:val="0"/>
          <w:color w:val="17212B"/>
          <w:sz w:val="22"/>
        </w:rPr>
        <w:t xml:space="preserve"> Leading Teams. Условия эффективности и ограниченность «героического» лидерства.</w:t>
      </w:r>
    </w:p>
    <w:p>
      <w:pPr>
        <w:spacing w:after="60" w:line="300" w:lineRule="auto"/>
      </w:pPr>
      <w:r>
        <w:rPr>
          <w:rFonts w:ascii="Calibri" w:hAnsi="Calibri"/>
          <w:b/>
          <w:i w:val="0"/>
          <w:color w:val="17212B"/>
          <w:sz w:val="22"/>
        </w:rPr>
        <w:t>Дуглас Стоун, Брюс Паттон, Шейла Хин.</w:t>
      </w:r>
      <w:r>
        <w:rPr>
          <w:rFonts w:ascii="Calibri" w:hAnsi="Calibri"/>
          <w:b w:val="0"/>
          <w:i w:val="0"/>
          <w:color w:val="17212B"/>
          <w:sz w:val="22"/>
        </w:rPr>
        <w:t xml:space="preserve"> Difficult Conversations. Факты, намерения, влияние и идентичность в сложных разговорах.</w:t>
      </w:r>
    </w:p>
    <w:p>
      <w:pPr>
        <w:pStyle w:val="Heading2"/>
      </w:pPr>
      <w:r>
        <w:t>Актуальные исследования и руководства</w:t>
      </w:r>
    </w:p>
    <w:p>
      <w:pPr>
        <w:spacing w:after="80"/>
      </w:pPr>
      <w:hyperlink r:id="rId11">
        <w:r>
          <w:rPr>
            <w:color w:val="2E74B5"/>
            <w:u w:val="single"/>
          </w:rPr>
          <w:t>Google re:Work — Understand team effectiveness</w:t>
        </w:r>
      </w:hyperlink>
    </w:p>
    <w:p>
      <w:pPr>
        <w:spacing w:after="80"/>
      </w:pPr>
      <w:hyperlink r:id="rId12">
        <w:r>
          <w:rPr>
            <w:color w:val="2E74B5"/>
            <w:u w:val="single"/>
          </w:rPr>
          <w:t>Bloom, Han, Liang (Nature, 2024) — Hybrid working from home improves retention without damaging performance</w:t>
        </w:r>
      </w:hyperlink>
    </w:p>
    <w:p>
      <w:pPr>
        <w:spacing w:after="80"/>
      </w:pPr>
      <w:hyperlink r:id="rId13">
        <w:r>
          <w:rPr>
            <w:color w:val="2E74B5"/>
            <w:u w:val="single"/>
          </w:rPr>
          <w:t>World Economic Forum — Future of Jobs Report 2025</w:t>
        </w:r>
      </w:hyperlink>
    </w:p>
    <w:p>
      <w:pPr>
        <w:spacing w:after="80"/>
      </w:pPr>
      <w:hyperlink r:id="rId14">
        <w:r>
          <w:rPr>
            <w:color w:val="2E74B5"/>
            <w:u w:val="single"/>
          </w:rPr>
          <w:t>NIST — AI Risk Management Framework: Generative AI Profile (2024)</w:t>
        </w:r>
      </w:hyperlink>
    </w:p>
    <w:p>
      <w:pPr>
        <w:spacing w:after="80"/>
      </w:pPr>
      <w:hyperlink r:id="rId15">
        <w:r>
          <w:rPr>
            <w:color w:val="2E74B5"/>
            <w:u w:val="single"/>
          </w:rPr>
          <w:t>Belbin — About the nine Team Roles</w:t>
        </w:r>
      </w:hyperlink>
    </w:p>
    <w:p>
      <w:pPr>
        <w:spacing w:after="80"/>
      </w:pPr>
      <w:hyperlink r:id="rId16">
        <w:r>
          <w:rPr>
            <w:color w:val="2E74B5"/>
            <w:u w:val="single"/>
          </w:rPr>
          <w:t>Gander et al. (2020) — Team roles and character strengths</w:t>
        </w:r>
      </w:hyperlink>
    </w:p>
    <w:p>
      <w:pPr>
        <w:spacing w:after="80"/>
      </w:pPr>
      <w:hyperlink r:id="rId17">
        <w:r>
          <w:rPr>
            <w:color w:val="2E74B5"/>
            <w:u w:val="single"/>
          </w:rPr>
          <w:t>Roediger &amp; Karpicke (2006) — Test-enhanced learning</w:t>
        </w:r>
      </w:hyperlink>
    </w:p>
    <w:p>
      <w:pPr>
        <w:spacing w:after="80"/>
      </w:pPr>
      <w:hyperlink r:id="rId18">
        <w:r>
          <w:rPr>
            <w:color w:val="2E74B5"/>
            <w:u w:val="single"/>
          </w:rPr>
          <w:t>Cepeda et al. (2006) — Distributed practice review</w:t>
        </w:r>
      </w:hyperlink>
    </w:p>
    <w:p>
      <w:pPr>
        <w:pStyle w:val="Heading2"/>
      </w:pPr>
      <w:r>
        <w:t>Использованные skills</w:t>
      </w:r>
    </w:p>
    <w:p>
      <w:pPr>
        <w:spacing w:after="120" w:line="300" w:lineRule="auto"/>
      </w:pPr>
      <w:r>
        <w:rPr>
          <w:rFonts w:ascii="Calibri" w:hAnsi="Calibri"/>
          <w:b w:val="0"/>
          <w:i w:val="0"/>
          <w:color w:val="17212B"/>
          <w:sz w:val="22"/>
        </w:rPr>
        <w:t>personal-context — учтены ранее согласованные темы и стиль; documents — создание и визуальная проверка Word; ai-systems-architect — разделение ролей человека и ИИ, контроль, оценка и отказоустойчивость; openai-library:library — сохранение итогового файла.</w:t>
      </w:r>
    </w:p>
    <w:p>
      <w:pPr>
        <w:spacing w:after="120" w:line="300" w:lineRule="auto"/>
      </w:pPr>
      <w:r>
        <w:rPr>
          <w:rFonts w:ascii="Calibri" w:hAnsi="Calibri"/>
          <w:b w:val="0"/>
          <w:i/>
          <w:color w:val="5E6B75"/>
          <w:sz w:val="22"/>
        </w:rPr>
        <w:t>Дата проверки веб‑источников: 01.09.2026. Версии сайтов и документов могут обновляться; при формальном внедрении перепроверьте ссылки и локальные требования.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E6B75"/>
        <w:sz w:val="16"/>
      </w:rPr>
      <w:t xml:space="preserve">Версия 1.0  •  01.09.2026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5E6B75"/>
        <w:sz w:val="16"/>
      </w:rPr>
      <w:t>КОМАНДА КАК СИСТЕМА  •  ПРАКТИЧЕСКАЯ МЕТОДИЧКА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1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2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324D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work.withgoogle.com/intl/en/guides/understand-team-effectiveness" TargetMode="External"/><Relationship Id="rId12" Type="http://schemas.openxmlformats.org/officeDocument/2006/relationships/hyperlink" Target="https://www.nature.com/articles/s41586-024-07500-2" TargetMode="External"/><Relationship Id="rId13" Type="http://schemas.openxmlformats.org/officeDocument/2006/relationships/hyperlink" Target="https://www.weforum.org/publications/the-future-of-jobs-report-2025/" TargetMode="External"/><Relationship Id="rId14" Type="http://schemas.openxmlformats.org/officeDocument/2006/relationships/hyperlink" Target="https://www.nist.gov/publications/artificial-intelligence-risk-management-framework-generative-artificial-intelligence" TargetMode="External"/><Relationship Id="rId15" Type="http://schemas.openxmlformats.org/officeDocument/2006/relationships/hyperlink" Target="https://www.belbin.com/about/belbin-team-roles" TargetMode="External"/><Relationship Id="rId16" Type="http://schemas.openxmlformats.org/officeDocument/2006/relationships/hyperlink" Target="https://pmc.ncbi.nlm.nih.gov/articles/PMC7734085/" TargetMode="External"/><Relationship Id="rId17" Type="http://schemas.openxmlformats.org/officeDocument/2006/relationships/hyperlink" Target="https://pubmed.ncbi.nlm.nih.gov/16507066/" TargetMode="External"/><Relationship Id="rId18" Type="http://schemas.openxmlformats.org/officeDocument/2006/relationships/hyperlink" Target="https://pubmed.ncbi.nlm.nih.gov/1671956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как система: коммуникация, доверие и ответственность в эпоху ИИ</dc:title>
  <dc:subject>Практическая методичка по командной работе и коммуникации</dc:subject>
  <dc:creator>Дмитрий Степанов</dc:creator>
  <cp:keywords>команда, коммуникация, психологическая безопасность, Белбин, RACI, ИИ, обучение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