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 w:after="160"/>
      </w:pPr>
      <w:r>
        <w:rPr>
          <w:rFonts w:ascii="Calibri" w:hAnsi="Calibri" w:eastAsia="Calibri"/>
          <w:b/>
          <w:color w:val="1F4D78"/>
          <w:sz w:val="52"/>
        </w:rPr>
        <w:t>Командная работа без потерь</w:t>
      </w:r>
    </w:p>
    <w:p>
      <w:pPr>
        <w:spacing w:after="440"/>
      </w:pPr>
      <w:r>
        <w:rPr>
          <w:rFonts w:ascii="Calibri" w:hAnsi="Calibri" w:eastAsia="Calibri"/>
          <w:color w:val="5F6B76"/>
          <w:sz w:val="28"/>
        </w:rPr>
        <w:t>Методическое руководство для постановки задач, синхронизации и контроля результата</w:t>
      </w:r>
    </w:p>
    <w:p>
      <w:r>
        <w:rPr>
          <w:rFonts w:ascii="Calibri" w:hAnsi="Calibri" w:eastAsia="Calibri"/>
          <w:sz w:val="21"/>
        </w:rPr>
        <w:t>Назначение: сформировать доказательную и прикладную основу будущего skill, который помогает превращать размытые запросы в управляемую командную работу.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9576"/>
            <w:vAlign w:val="center"/>
            <w:shd w:fill="F4F6F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 xml:space="preserve">Главный принцип: </w:t>
            </w:r>
            <w:r>
              <w:rPr>
                <w:rFonts w:ascii="Calibri" w:hAnsi="Calibri" w:eastAsia="Calibri"/>
                <w:sz w:val="20"/>
              </w:rPr>
              <w:t>Команду улучшает не количество совещаний, а ясность цели, структуры, полномочий, критериев результата и правил коммуникации.</w:t>
            </w:r>
          </w:p>
        </w:tc>
      </w:tr>
    </w:tbl>
    <w:p>
      <w:pPr>
        <w:spacing w:after="0"/>
      </w:pPr>
    </w:p>
    <w:p>
      <w:pPr>
        <w:pStyle w:val="Heading2"/>
      </w:pPr>
      <w:r>
        <w:t>Для кого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руководители проектов и продуктов;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разработчики AI-систем и автоматизаций;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небольшие кросс-функциональные команды;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исполнители, принимающие задачи от внешнего заказчика.</w:t>
      </w:r>
    </w:p>
    <w:p>
      <w:pPr>
        <w:pStyle w:val="Heading2"/>
      </w:pPr>
      <w:r>
        <w:t>Что должно измениться после применения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задачи принимаются только после прояснения результата и ограничений;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ответственность и зависимости видны до начала работы;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блокеры поднимаются сразу, а решения фиксируются;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статус сообщает факты, а не создаёт видимость деятельности;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готовность подтверждается критериями и проверкой.</w:t>
      </w:r>
    </w:p>
    <w:p>
      <w:r>
        <w:rPr>
          <w:rFonts w:ascii="Calibri" w:hAnsi="Calibri" w:eastAsia="Calibri"/>
          <w:sz w:val="21"/>
        </w:rPr>
        <w:t>Дата подготовки: 13 августа 2026 года.</w:t>
      </w:r>
    </w:p>
    <w:p>
      <w:r>
        <w:br w:type="page"/>
      </w:r>
    </w:p>
    <w:p>
      <w:pPr>
        <w:pStyle w:val="Heading1"/>
      </w:pPr>
      <w:r>
        <w:t>1. Доказательная основа</w:t>
      </w:r>
    </w:p>
    <w:p>
      <w:r>
        <w:rPr>
          <w:rFonts w:ascii="Calibri" w:hAnsi="Calibri" w:eastAsia="Calibri"/>
          <w:sz w:val="21"/>
        </w:rPr>
        <w:t>Методика объединяет пять неповторяющихся перспектив. Каждая отвечает за отдельный элемент командной системы.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1872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Автор</w:t>
            </w:r>
          </w:p>
        </w:tc>
        <w:tc>
          <w:tcPr>
            <w:tcW w:type="dxa" w:w="3528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Основная идея</w:t>
            </w:r>
          </w:p>
        </w:tc>
        <w:tc>
          <w:tcPr>
            <w:tcW w:type="dxa" w:w="4176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Применение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Дж. Р. Хэкман</w:t>
            </w:r>
          </w:p>
        </w:tc>
        <w:tc>
          <w:tcPr>
            <w:tcW w:type="dxa" w:w="35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Эффективность создаётся условиями работы.</w:t>
            </w:r>
          </w:p>
        </w:tc>
        <w:tc>
          <w:tcPr>
            <w:tcW w:type="dxa" w:w="417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Цель, состав, структура, поддержка, коучинг.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Эми Эдмондсон</w:t>
            </w:r>
          </w:p>
        </w:tc>
        <w:tc>
          <w:tcPr>
            <w:tcW w:type="dxa" w:w="35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Люди должны безопасно сообщать о рисках и ошибках.</w:t>
            </w:r>
          </w:p>
        </w:tc>
        <w:tc>
          <w:tcPr>
            <w:tcW w:type="dxa" w:w="417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Блокеры, вопросы, разбор ошибок.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Патрик Ленсиони</w:t>
            </w:r>
          </w:p>
        </w:tc>
        <w:tc>
          <w:tcPr>
            <w:tcW w:type="dxa" w:w="35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Дисфункции развиваются от недоверия к потере результата.</w:t>
            </w:r>
          </w:p>
        </w:tc>
        <w:tc>
          <w:tcPr>
            <w:tcW w:type="dxa" w:w="417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Диагностика и командные нормы.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Ким Скотт</w:t>
            </w:r>
          </w:p>
        </w:tc>
        <w:tc>
          <w:tcPr>
            <w:tcW w:type="dxa" w:w="35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Обратная связь сочетает уважение и прямоту.</w:t>
            </w:r>
          </w:p>
        </w:tc>
        <w:tc>
          <w:tcPr>
            <w:tcW w:type="dxa" w:w="417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Коррекция работы без личных атак.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Дэвид Марке</w:t>
            </w:r>
          </w:p>
        </w:tc>
        <w:tc>
          <w:tcPr>
            <w:tcW w:type="dxa" w:w="35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Полномочия следует переносить к компетентному исполнителю.</w:t>
            </w:r>
          </w:p>
        </w:tc>
        <w:tc>
          <w:tcPr>
            <w:tcW w:type="dxa" w:w="417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Намерение, ответственность, контроль границ.</w:t>
            </w:r>
          </w:p>
        </w:tc>
      </w:tr>
    </w:tbl>
    <w:p>
      <w:pPr>
        <w:spacing w:after="0"/>
      </w:pPr>
    </w:p>
    <w:p>
      <w:pPr>
        <w:pStyle w:val="Heading2"/>
      </w:pPr>
      <w:r>
        <w:t>Выводы из периодических изданий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Haas и Mortensen: современной команде нужны убедительное направление, сильная структура, поддерживающая среда и общее понимание ситуации.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Katzenbach и Smith: группа становится командой через общую цель, конкретные показатели и взаимную ответственность.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Toegel и Barsoux: разрушительный конфликт дешевле предупредить разговорами о способах работы, чем исправлять после столкновения.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Обзор науки о командах Salas и соавторов: устойчивый результат зависит от организационной поддержки, координации, адаптации и психологической безопасности.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9576"/>
            <w:vAlign w:val="center"/>
            <w:shd w:fill="F4F6F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 xml:space="preserve">Ограничение: </w:t>
            </w:r>
            <w:r>
              <w:rPr>
                <w:rFonts w:ascii="Calibri" w:hAnsi="Calibri" w:eastAsia="Calibri"/>
                <w:sz w:val="20"/>
              </w:rPr>
              <w:t>Ни одна модель не гарантирует успех сама по себе. Методика задаёт рабочие условия и наблюдаемые практики, которые необходимо проверять на конкретной команде.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2. Архитектура эффективной команды</w:t>
      </w:r>
    </w:p>
    <w:p>
      <w:pPr>
        <w:pStyle w:val="Heading2"/>
      </w:pPr>
      <w:r>
        <w:t>Пять обязательных условий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1944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Условие</w:t>
            </w:r>
          </w:p>
        </w:tc>
        <w:tc>
          <w:tcPr>
            <w:tcW w:type="dxa" w:w="3816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Контрольный вопрос</w:t>
            </w:r>
          </w:p>
        </w:tc>
        <w:tc>
          <w:tcPr>
            <w:tcW w:type="dxa" w:w="3816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Признак проблемы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Направление</w:t>
            </w:r>
          </w:p>
        </w:tc>
        <w:tc>
          <w:tcPr>
            <w:tcW w:type="dxa" w:w="381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Какую ценность и для кого создаём?</w:t>
            </w:r>
          </w:p>
        </w:tc>
        <w:tc>
          <w:tcPr>
            <w:tcW w:type="dxa" w:w="381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Участники оптимизируют разные цели.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Реальная команда</w:t>
            </w:r>
          </w:p>
        </w:tc>
        <w:tc>
          <w:tcPr>
            <w:tcW w:type="dxa" w:w="381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Кто входит, кто принимает решения?</w:t>
            </w:r>
          </w:p>
        </w:tc>
        <w:tc>
          <w:tcPr>
            <w:tcW w:type="dxa" w:w="381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Плавающий состав и скрытые владельцы.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Рабочая структура</w:t>
            </w:r>
          </w:p>
        </w:tc>
        <w:tc>
          <w:tcPr>
            <w:tcW w:type="dxa" w:w="381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Как разделены роли и зависимости?</w:t>
            </w:r>
          </w:p>
        </w:tc>
        <w:tc>
          <w:tcPr>
            <w:tcW w:type="dxa" w:w="381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Дублирование или бесхозные зоны.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Поддерживающая среда</w:t>
            </w:r>
          </w:p>
        </w:tc>
        <w:tc>
          <w:tcPr>
            <w:tcW w:type="dxa" w:w="381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Есть ли данные, доступы, время и инструменты?</w:t>
            </w:r>
          </w:p>
        </w:tc>
        <w:tc>
          <w:tcPr>
            <w:tcW w:type="dxa" w:w="381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Исполнитель компенсирует системные ограничения.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Своевременное сопровождение</w:t>
            </w:r>
          </w:p>
        </w:tc>
        <w:tc>
          <w:tcPr>
            <w:tcW w:type="dxa" w:w="381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Когда нужна помощь руководителя?</w:t>
            </w:r>
          </w:p>
        </w:tc>
        <w:tc>
          <w:tcPr>
            <w:tcW w:type="dxa" w:w="381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Контроль слишком поздний или постоянный.</w:t>
            </w:r>
          </w:p>
        </w:tc>
      </w:tr>
    </w:tbl>
    <w:p>
      <w:pPr>
        <w:spacing w:after="0"/>
      </w:pPr>
    </w:p>
    <w:p>
      <w:pPr>
        <w:pStyle w:val="Heading2"/>
      </w:pPr>
      <w:r>
        <w:t>Командный контракт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цель и границы проекта;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роли, полномочия и способ эскалации;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каналы для срочных, рабочих и справочных сообщений;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срок ответа и допустимое время ожидания;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правила принятия и фиксации решений;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Definition of Done и порядок приёмки.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9576"/>
            <w:vAlign w:val="center"/>
            <w:shd w:fill="F4F6F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 xml:space="preserve">Правило: </w:t>
            </w:r>
            <w:r>
              <w:rPr>
                <w:rFonts w:ascii="Calibri" w:hAnsi="Calibri" w:eastAsia="Calibri"/>
                <w:sz w:val="20"/>
              </w:rPr>
              <w:t>Если участник отвечает за результат, но не имеет доступа, полномочий или права решения, ответственность назначена фиктивно.</w:t>
            </w:r>
          </w:p>
        </w:tc>
      </w:tr>
    </w:tbl>
    <w:p>
      <w:pPr>
        <w:spacing w:after="0"/>
      </w:pPr>
    </w:p>
    <w:p>
      <w:pPr>
        <w:pStyle w:val="Heading2"/>
      </w:pPr>
      <w:r>
        <w:t>Размер и состав</w:t>
      </w:r>
    </w:p>
    <w:p>
      <w:r>
        <w:rPr>
          <w:rFonts w:ascii="Calibri" w:hAnsi="Calibri" w:eastAsia="Calibri"/>
          <w:sz w:val="21"/>
        </w:rPr>
        <w:t>Состав определяется не числом людей, а необходимыми компетенциями и плотностью зависимостей. Добавление участника оправдано, если он закрывает критическую роль или сокращает риск; иначе растут расходы на координацию.</w:t>
      </w:r>
    </w:p>
    <w:p>
      <w:r>
        <w:br w:type="page"/>
      </w:r>
    </w:p>
    <w:p>
      <w:pPr>
        <w:pStyle w:val="Heading1"/>
      </w:pPr>
      <w:r>
        <w:t>3. Постановка и принятие задачи</w:t>
      </w:r>
    </w:p>
    <w:p>
      <w:r>
        <w:rPr>
          <w:rFonts w:ascii="Calibri" w:hAnsi="Calibri" w:eastAsia="Calibri"/>
          <w:sz w:val="21"/>
        </w:rPr>
        <w:t>Хорошая задача является договором о результате, а не описанием активности.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1944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Элемент</w:t>
            </w:r>
          </w:p>
        </w:tc>
        <w:tc>
          <w:tcPr>
            <w:tcW w:type="dxa" w:w="7632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Что фиксировать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Контекст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Проблема, пользователь, причина приоритета и последствия бездействия.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Результат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Проверяемое изменение, артефакт или решение.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Границы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Что входит и не входит; ограничения, риски и допущения.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Ресурсы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Данные, доступы, владелец предметной области, примеры.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Готовность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Критерии приёмки, метрики, тесты и ответственный за решение.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Срок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Дедлайн, промежуточные точки и критические зависимости.</w:t>
            </w:r>
          </w:p>
        </w:tc>
      </w:tr>
    </w:tbl>
    <w:p>
      <w:pPr>
        <w:spacing w:after="0"/>
      </w:pPr>
    </w:p>
    <w:p>
      <w:pPr>
        <w:pStyle w:val="Heading2"/>
      </w:pPr>
      <w:r>
        <w:t>Порядок принятия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пересказать ожидаемый результат своими словами;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задать только вопросы, влияющие на решение или объём;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обозначить допущения и цену неопределённости;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проверить доступы и зависимости до обещания срока;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разделить критерии успеха и защитные ограничения;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зафиксировать владельца приёмки.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9576"/>
            <w:vAlign w:val="center"/>
            <w:shd w:fill="F4F6F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 xml:space="preserve">Фраза проверки: </w:t>
            </w:r>
            <w:r>
              <w:rPr>
                <w:rFonts w:ascii="Calibri" w:hAnsi="Calibri" w:eastAsia="Calibri"/>
                <w:sz w:val="20"/>
              </w:rPr>
              <w:t>Правильно ли я понимаю, что результатом будет …, он считается готовым при …, а за пределами задачи остаётся …?</w:t>
            </w:r>
          </w:p>
        </w:tc>
      </w:tr>
    </w:tbl>
    <w:p>
      <w:pPr>
        <w:spacing w:after="0"/>
      </w:pPr>
    </w:p>
    <w:p>
      <w:pPr>
        <w:pStyle w:val="Heading2"/>
      </w:pPr>
      <w:r>
        <w:t>Запрет на скрытое додумывание</w:t>
      </w:r>
    </w:p>
    <w:p>
      <w:r>
        <w:rPr>
          <w:rFonts w:ascii="Calibri" w:hAnsi="Calibri" w:eastAsia="Calibri"/>
          <w:sz w:val="21"/>
        </w:rPr>
        <w:t>Исполнитель может предложить вариант, но обязан пометить его как допущение. Неопределённость нельзя маскировать уверенным сроком, несуществующим доступом или выдуманным требованием.</w:t>
      </w:r>
    </w:p>
    <w:p>
      <w:r>
        <w:br w:type="page"/>
      </w:r>
    </w:p>
    <w:p>
      <w:pPr>
        <w:pStyle w:val="Heading1"/>
      </w:pPr>
      <w:r>
        <w:t>4. Коммуникация и психологическая безопасность</w:t>
      </w:r>
    </w:p>
    <w:p>
      <w:r>
        <w:rPr>
          <w:rFonts w:ascii="Calibri" w:hAnsi="Calibri" w:eastAsia="Calibri"/>
          <w:sz w:val="21"/>
        </w:rPr>
        <w:t>Психологическая безопасность — возможность задать вопрос, признать ошибку или оспорить решение без унижения и мести. Она не отменяет стандартов качества и ответственности.</w:t>
      </w:r>
    </w:p>
    <w:p>
      <w:pPr>
        <w:pStyle w:val="Heading2"/>
      </w:pPr>
      <w:r>
        <w:t>Нормы безопасной требовательности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критиковать решение, данные и процесс, а не личность;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сообщать плохие новости раньше, чем появляется идеальный ответ;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разделять добросовестную ошибку, недостаток компетенции и нарушение правил;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в споре называть наблюдение, риск и предлагаемую проверку;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после решения поддерживать общее действие, сохраняя запись возражений.</w:t>
      </w:r>
    </w:p>
    <w:p>
      <w:pPr>
        <w:pStyle w:val="Heading2"/>
      </w:pPr>
      <w:r>
        <w:t>Формула обратной связи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1800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Шаг</w:t>
            </w:r>
          </w:p>
        </w:tc>
        <w:tc>
          <w:tcPr>
            <w:tcW w:type="dxa" w:w="7776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Формулировка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Факт</w:t>
            </w:r>
          </w:p>
        </w:tc>
        <w:tc>
          <w:tcPr>
            <w:tcW w:type="dxa" w:w="777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В отчёте отсутствуют результаты теста по трём сценариям.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Влияние</w:t>
            </w:r>
          </w:p>
        </w:tc>
        <w:tc>
          <w:tcPr>
            <w:tcW w:type="dxa" w:w="777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Команда не может подтвердить готовность релиза.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Ожидание</w:t>
            </w:r>
          </w:p>
        </w:tc>
        <w:tc>
          <w:tcPr>
            <w:tcW w:type="dxa" w:w="777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Добавьте результаты и ссылки на логи до 16:00.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Поддержка</w:t>
            </w:r>
          </w:p>
        </w:tc>
        <w:tc>
          <w:tcPr>
            <w:tcW w:type="dxa" w:w="777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Если тестовая среда недоступна, поднимите блокер сейчас.</w:t>
            </w:r>
          </w:p>
        </w:tc>
      </w:tr>
    </w:tbl>
    <w:p>
      <w:pPr>
        <w:spacing w:after="0"/>
      </w:pPr>
    </w:p>
    <w:p>
      <w:pPr>
        <w:pStyle w:val="Heading2"/>
      </w:pPr>
      <w:r>
        <w:t>Профилактика конфликта</w:t>
      </w:r>
    </w:p>
    <w:p>
      <w:r>
        <w:rPr>
          <w:rFonts w:ascii="Calibri" w:hAnsi="Calibri" w:eastAsia="Calibri"/>
          <w:sz w:val="21"/>
        </w:rPr>
        <w:t>До начала сложной работы согласовать пять тем: как участники предпочитают получать информацию; какое поведение считают уважительным; как спорят; как принимают решения; как сообщают о перегрузке и ошибках.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9576"/>
            <w:vAlign w:val="center"/>
            <w:shd w:fill="F4F6F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 xml:space="preserve">Баланс: </w:t>
            </w:r>
            <w:r>
              <w:rPr>
                <w:rFonts w:ascii="Calibri" w:hAnsi="Calibri" w:eastAsia="Calibri"/>
                <w:sz w:val="20"/>
              </w:rPr>
              <w:t>Без безопасности команда скрывает проблемы. Без требовательности она перестаёт отвечать за результат. Нужны оба условия одновременно.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5. Ритмы командной работы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1728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Ритуал</w:t>
            </w:r>
          </w:p>
        </w:tc>
        <w:tc>
          <w:tcPr>
            <w:tcW w:type="dxa" w:w="3528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Цель</w:t>
            </w:r>
          </w:p>
        </w:tc>
        <w:tc>
          <w:tcPr>
            <w:tcW w:type="dxa" w:w="4320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Минимальный результат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Планирование</w:t>
            </w:r>
          </w:p>
        </w:tc>
        <w:tc>
          <w:tcPr>
            <w:tcW w:type="dxa" w:w="35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Выбрать результат и способ проверки.</w:t>
            </w:r>
          </w:p>
        </w:tc>
        <w:tc>
          <w:tcPr>
            <w:tcW w:type="dxa" w:w="432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Цель, владелец, критерии, зависимости.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Стендап</w:t>
            </w:r>
          </w:p>
        </w:tc>
        <w:tc>
          <w:tcPr>
            <w:tcW w:type="dxa" w:w="35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Синхронизировать движение и помощь.</w:t>
            </w:r>
          </w:p>
        </w:tc>
        <w:tc>
          <w:tcPr>
            <w:tcW w:type="dxa" w:w="432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Изменение статуса, следующий шаг, блокер.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Review / Demo</w:t>
            </w:r>
          </w:p>
        </w:tc>
        <w:tc>
          <w:tcPr>
            <w:tcW w:type="dxa" w:w="35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Проверить фактически созданную ценность.</w:t>
            </w:r>
          </w:p>
        </w:tc>
        <w:tc>
          <w:tcPr>
            <w:tcW w:type="dxa" w:w="432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Демонстрация и решение о приёмке.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Ретроспектива</w:t>
            </w:r>
          </w:p>
        </w:tc>
        <w:tc>
          <w:tcPr>
            <w:tcW w:type="dxa" w:w="35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Улучшить способ работы.</w:t>
            </w:r>
          </w:p>
        </w:tc>
        <w:tc>
          <w:tcPr>
            <w:tcW w:type="dxa" w:w="432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Одно изменение с владельцем и сроком.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Разбор решения</w:t>
            </w:r>
          </w:p>
        </w:tc>
        <w:tc>
          <w:tcPr>
            <w:tcW w:type="dxa" w:w="35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Сохранить контекст важного выбора.</w:t>
            </w:r>
          </w:p>
        </w:tc>
        <w:tc>
          <w:tcPr>
            <w:tcW w:type="dxa" w:w="432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Решение, причины, альтернативы, дата.</w:t>
            </w:r>
          </w:p>
        </w:tc>
      </w:tr>
    </w:tbl>
    <w:p>
      <w:pPr>
        <w:spacing w:after="0"/>
      </w:pPr>
    </w:p>
    <w:p>
      <w:pPr>
        <w:pStyle w:val="Heading2"/>
      </w:pPr>
      <w:r>
        <w:t>Статус-апдейт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сделано: завершённый и проверяемый результат;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в работе: текущий шаг и ожидаемый выход;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риск или блокер: влияние и необходимая помощь;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следующая контрольная точка: дата и критерий.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9576"/>
            <w:vAlign w:val="center"/>
            <w:shd w:fill="F4F6F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 xml:space="preserve">Плохой статус: </w:t>
            </w:r>
            <w:r>
              <w:rPr>
                <w:rFonts w:ascii="Calibri" w:hAnsi="Calibri" w:eastAsia="Calibri"/>
                <w:sz w:val="20"/>
              </w:rPr>
              <w:t>«Работаю над интеграцией». Он не показывает изменения, прогресс, риск и момент результата.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9576"/>
            <w:vAlign w:val="center"/>
            <w:shd w:fill="F4F6F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 xml:space="preserve">Хороший статус: </w:t>
            </w:r>
            <w:r>
              <w:rPr>
                <w:rFonts w:ascii="Calibri" w:hAnsi="Calibri" w:eastAsia="Calibri"/>
                <w:sz w:val="20"/>
              </w:rPr>
              <w:t>«Подключён API CRM; 38 из 40 тестов пройдены. Два теста падают из-за формата даты. Исправление и повторный прогон — до 15:00. Доступы не требуются».</w:t>
            </w:r>
          </w:p>
        </w:tc>
      </w:tr>
    </w:tbl>
    <w:p>
      <w:pPr>
        <w:spacing w:after="0"/>
      </w:pPr>
    </w:p>
    <w:p>
      <w:pPr>
        <w:pStyle w:val="Heading2"/>
      </w:pPr>
      <w:r>
        <w:t>Когда встреча не нужна</w:t>
      </w:r>
    </w:p>
    <w:p>
      <w:r>
        <w:rPr>
          <w:rFonts w:ascii="Calibri" w:hAnsi="Calibri" w:eastAsia="Calibri"/>
          <w:sz w:val="21"/>
        </w:rPr>
        <w:t>Не проводить встречу для одностороннего информирования, простого согласования статуса или чтения документа. Встреча оправдана, когда требуется совместное решение, конфликтующие позиции или быстрая координация зависимостей.</w:t>
      </w:r>
    </w:p>
    <w:p>
      <w:r>
        <w:br w:type="page"/>
      </w:r>
    </w:p>
    <w:p>
      <w:pPr>
        <w:pStyle w:val="Heading1"/>
      </w:pPr>
      <w:r>
        <w:t>6. Решения, ответственность и документация</w:t>
      </w:r>
    </w:p>
    <w:p>
      <w:pPr>
        <w:pStyle w:val="Heading2"/>
      </w:pPr>
      <w:r>
        <w:t>Распределение ответственности</w:t>
      </w:r>
    </w:p>
    <w:p>
      <w:r>
        <w:rPr>
          <w:rFonts w:ascii="Calibri" w:hAnsi="Calibri" w:eastAsia="Calibri"/>
          <w:sz w:val="21"/>
        </w:rPr>
        <w:t>У каждого результата должен быть один владелец. Участников можно привлекать к выполнению и консультации, но итоговое решение и приёмка не должны растворяться между несколькими людьми.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1944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Объект</w:t>
            </w:r>
          </w:p>
        </w:tc>
        <w:tc>
          <w:tcPr>
            <w:tcW w:type="dxa" w:w="7632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Обязательная запись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Задача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Контекст, результат, владелец, срок, критерии, зависимости.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Решение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Выбор, автор решения, основания, альтернативы, дата пересмотра.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Риск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Вероятность, влияние, ранний сигнал, действие и владелец.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Инцидент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Факты, влияние, восстановление, причина, предупреждение повтора.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Изменение</w:t>
            </w:r>
          </w:p>
        </w:tc>
        <w:tc>
          <w:tcPr>
            <w:tcW w:type="dxa" w:w="763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Что меняется, зачем, кого затрагивает, миграция и откат.</w:t>
            </w:r>
          </w:p>
        </w:tc>
      </w:tr>
    </w:tbl>
    <w:p>
      <w:pPr>
        <w:spacing w:after="0"/>
      </w:pPr>
    </w:p>
    <w:p>
      <w:pPr>
        <w:pStyle w:val="Heading2"/>
      </w:pPr>
      <w:r>
        <w:t>Минимальная документация проекта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README как точка входа: назначение, запуск, ключевые ссылки;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описание архитектуры и внешних интеграций;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источники, форматы и владельцы данных;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журнал решений и известных ограничений;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инструкция по тестированию, развёртыванию и восстановлению;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метрики качества и актуальный статус.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9576"/>
            <w:vAlign w:val="center"/>
            <w:shd w:fill="F4F6F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 xml:space="preserve">Критерий полезности: </w:t>
            </w:r>
            <w:r>
              <w:rPr>
                <w:rFonts w:ascii="Calibri" w:hAnsi="Calibri" w:eastAsia="Calibri"/>
                <w:sz w:val="20"/>
              </w:rPr>
              <w:t>Документация должна позволять новому участнику понять систему, воспроизвести ключевой процесс и найти владельца решения без устных археологических раскопок.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7. Измерение командной эффективности</w:t>
      </w:r>
    </w:p>
    <w:p>
      <w:r>
        <w:rPr>
          <w:rFonts w:ascii="Calibri" w:hAnsi="Calibri" w:eastAsia="Calibri"/>
          <w:sz w:val="21"/>
        </w:rPr>
        <w:t>Оценивать следует не занятость, а результат, устойчивость процесса и способность команды улучшаться.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1728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Область</w:t>
            </w:r>
          </w:p>
        </w:tc>
        <w:tc>
          <w:tcPr>
            <w:tcW w:type="dxa" w:w="3312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Метрика</w:t>
            </w:r>
          </w:p>
        </w:tc>
        <w:tc>
          <w:tcPr>
            <w:tcW w:type="dxa" w:w="4536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Что означает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Результат</w:t>
            </w:r>
          </w:p>
        </w:tc>
        <w:tc>
          <w:tcPr>
            <w:tcW w:type="dxa" w:w="331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Доля принятых результатов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Соответствие ожиданиям заказчика.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Предсказуемость</w:t>
            </w:r>
          </w:p>
        </w:tc>
        <w:tc>
          <w:tcPr>
            <w:tcW w:type="dxa" w:w="331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Выполнение контрольных точек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Качество планирования и управления риском.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Поток</w:t>
            </w:r>
          </w:p>
        </w:tc>
        <w:tc>
          <w:tcPr>
            <w:tcW w:type="dxa" w:w="331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Время от принятия до готовности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Скорость прохождения работы, а не загрузка людей.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Качество</w:t>
            </w:r>
          </w:p>
        </w:tc>
        <w:tc>
          <w:tcPr>
            <w:tcW w:type="dxa" w:w="331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Дефекты и повторная работа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Цена ошибок и неясных требований.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Координация</w:t>
            </w:r>
          </w:p>
        </w:tc>
        <w:tc>
          <w:tcPr>
            <w:tcW w:type="dxa" w:w="331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Возраст блокеров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Скорость обнаружения и снятия зависимостей.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Обучение</w:t>
            </w:r>
          </w:p>
        </w:tc>
        <w:tc>
          <w:tcPr>
            <w:tcW w:type="dxa" w:w="331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Реализованные улучшения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Способность менять процесс по данным.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Безопасность</w:t>
            </w:r>
          </w:p>
        </w:tc>
        <w:tc>
          <w:tcPr>
            <w:tcW w:type="dxa" w:w="3312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Готовность говорить о рисках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Возможность раннего обнаружения проблем.</w:t>
            </w:r>
          </w:p>
        </w:tc>
      </w:tr>
    </w:tbl>
    <w:p>
      <w:pPr>
        <w:spacing w:after="0"/>
      </w:pPr>
    </w:p>
    <w:p>
      <w:pPr>
        <w:pStyle w:val="Heading2"/>
      </w:pPr>
      <w:r>
        <w:t>Короткая диагностика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каждый участник одинаково формулирует цель текущего цикла;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владелец каждого результата и решения известен;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критерии готовности определены до выполнения;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блокеры становятся видимыми в течение одного рабочего дня;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решения можно восстановить по записи;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ретроспектива приводит хотя бы к одному проверяемому изменению.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9576"/>
            <w:vAlign w:val="center"/>
            <w:shd w:fill="F4F6F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 xml:space="preserve">Предупреждение: </w:t>
            </w:r>
            <w:r>
              <w:rPr>
                <w:rFonts w:ascii="Calibri" w:hAnsi="Calibri" w:eastAsia="Calibri"/>
                <w:sz w:val="20"/>
              </w:rPr>
              <w:t>Одна метрика легко превращается в цель и искажается. Использовать связку: результативность + качество + скорость + безопасность.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8. Требования к будущему skill</w:t>
      </w:r>
    </w:p>
    <w:p>
      <w:pPr>
        <w:pStyle w:val="Heading2"/>
      </w:pPr>
      <w:r>
        <w:t>Назначение</w:t>
      </w:r>
    </w:p>
    <w:p>
      <w:r>
        <w:rPr>
          <w:rFonts w:ascii="Calibri" w:hAnsi="Calibri" w:eastAsia="Calibri"/>
          <w:sz w:val="21"/>
        </w:rPr>
        <w:t>Skill должен анализировать запрос, выявлять недостающие условия командной работы и выдавать готовые управленческие артефакты без выдуманных фактов.</w:t>
      </w:r>
    </w:p>
    <w:p>
      <w:pPr>
        <w:pStyle w:val="Heading2"/>
      </w:pPr>
      <w:r>
        <w:t>Обязательный рабочий процесс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определить проблему, пользователя и ожидаемую ценность;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выявить пробелы в результате, границах, ресурсах, критериях и сроках;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задать минимальное число уточняющих вопросов;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сформировать задачу, командный контракт или статус в нужном формате;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отделить подтверждённые данные от допущений;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добавить критерии приёмки, риски, владельцев и контрольные точки;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проверить текст на повторы, общие фразы и неподтверждённые обещания.</w:t>
      </w:r>
    </w:p>
    <w:p>
      <w:pPr>
        <w:pStyle w:val="Heading2"/>
      </w:pPr>
      <w:r>
        <w:t>Форматы результата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2880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Ситуация</w:t>
            </w:r>
          </w:p>
        </w:tc>
        <w:tc>
          <w:tcPr>
            <w:tcW w:type="dxa" w:w="6696"/>
            <w:vAlign w:val="center"/>
            <w:shd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Результат skill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Размытый бриф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Уточняющие вопросы и структурированная постановка задачи.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Работа началась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Статус-апдейт, блокеры и следующая контрольная точка.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Команда буксует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Диагностика условий, конфликтов и ответственности.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Проект передаётся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Минимальный комплект документации и пробелы.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Цикл завершён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sz w:val="18"/>
              </w:rPr>
              <w:t>Ретроспектива, решение об улучшении и метрика проверки.</w:t>
            </w:r>
          </w:p>
        </w:tc>
      </w:tr>
    </w:tbl>
    <w:p>
      <w:pPr>
        <w:spacing w:after="0"/>
      </w:pPr>
    </w:p>
    <w:p>
      <w:pPr>
        <w:pStyle w:val="Heading2"/>
      </w:pPr>
      <w:r>
        <w:t>Критерии качества skill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результат конкретен, проверяем и применим;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вопросы влияют на решение, а не собирают контекст ради контекста;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модель не подменяет владельца решения;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рекомендации соразмерны масштабу команды;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ответ не повторяет одну мысль разными словами.</w:t>
      </w:r>
    </w:p>
    <w:p>
      <w:r>
        <w:br w:type="page"/>
      </w:r>
    </w:p>
    <w:p>
      <w:pPr>
        <w:pStyle w:val="Heading1"/>
      </w:pPr>
      <w:r>
        <w:t>9. Источники и контрольный чек-лист</w:t>
      </w:r>
    </w:p>
    <w:p>
      <w:pPr>
        <w:pStyle w:val="Heading2"/>
      </w:pPr>
      <w:r>
        <w:t>Основная литература — пять авторов</w:t>
      </w:r>
    </w:p>
    <w:p>
      <w:r>
        <w:rPr>
          <w:rFonts w:ascii="Calibri" w:hAnsi="Calibri" w:eastAsia="Calibri"/>
          <w:sz w:val="21"/>
        </w:rPr>
        <w:t>1. Hackman, J. R. Leading Teams: Setting the Stage for Great Performances. Harvard Business School Press, 2002.</w:t>
      </w:r>
    </w:p>
    <w:p>
      <w:r>
        <w:rPr>
          <w:rFonts w:ascii="Calibri" w:hAnsi="Calibri" w:eastAsia="Calibri"/>
          <w:sz w:val="21"/>
        </w:rPr>
        <w:t>2. Edmondson, A. C. The Fearless Organization. Wiley, 2018.</w:t>
      </w:r>
    </w:p>
    <w:p>
      <w:r>
        <w:rPr>
          <w:rFonts w:ascii="Calibri" w:hAnsi="Calibri" w:eastAsia="Calibri"/>
          <w:sz w:val="21"/>
        </w:rPr>
        <w:t>3. Lencioni, P. The Five Dysfunctions of a Team. Jossey-Bass, 2002.</w:t>
      </w:r>
    </w:p>
    <w:p>
      <w:r>
        <w:rPr>
          <w:rFonts w:ascii="Calibri" w:hAnsi="Calibri" w:eastAsia="Calibri"/>
          <w:sz w:val="21"/>
        </w:rPr>
        <w:t>4. Scott, K. Radical Candor. St. Martin’s Press, revised edition, 2019.</w:t>
      </w:r>
    </w:p>
    <w:p>
      <w:r>
        <w:rPr>
          <w:rFonts w:ascii="Calibri" w:hAnsi="Calibri" w:eastAsia="Calibri"/>
          <w:sz w:val="21"/>
        </w:rPr>
        <w:t>5. Marquet, L. D. Turn the Ship Around! Portfolio, 2013.</w:t>
      </w:r>
    </w:p>
    <w:p>
      <w:pPr>
        <w:pStyle w:val="Heading2"/>
      </w:pPr>
      <w:r>
        <w:t>Периодические и исследовательские материалы</w:t>
      </w:r>
    </w:p>
    <w:p>
      <w:r>
        <w:rPr>
          <w:rFonts w:ascii="Calibri" w:hAnsi="Calibri" w:eastAsia="Calibri"/>
          <w:sz w:val="21"/>
        </w:rPr>
        <w:t>Haas, M.; Mortensen, M. “The Secrets of Great Teamwork.” Harvard Business Review, June 2016. https://hbr.org/2016/06/the-secrets-of-great-teamwork</w:t>
      </w:r>
    </w:p>
    <w:p>
      <w:r>
        <w:rPr>
          <w:rFonts w:ascii="Calibri" w:hAnsi="Calibri" w:eastAsia="Calibri"/>
          <w:sz w:val="21"/>
        </w:rPr>
        <w:t>Toegel, G.; Barsoux, J.-L. “How to Preempt Team Conflict.” Harvard Business Review, June 2016. https://hbr.org/2016/06/how-to-preempt-team-conflict</w:t>
      </w:r>
    </w:p>
    <w:p>
      <w:r>
        <w:rPr>
          <w:rFonts w:ascii="Calibri" w:hAnsi="Calibri" w:eastAsia="Calibri"/>
          <w:sz w:val="21"/>
        </w:rPr>
        <w:t>Katzenbach, J. R.; Smith, D. K. “The Discipline of Teams.” Harvard Business Review, March–April 1993. https://hbr.org/1993/03/the-discipline-of-teams-2</w:t>
      </w:r>
    </w:p>
    <w:p>
      <w:r>
        <w:rPr>
          <w:rFonts w:ascii="Calibri" w:hAnsi="Calibri" w:eastAsia="Calibri"/>
          <w:sz w:val="21"/>
        </w:rPr>
        <w:t>Salas, E.; Reyes, D. L.; McDaniel, S. H. “The Science of Teamwork.” American Psychologist, 2018. https://pubmed.ncbi.nlm.nih.gov/29792470/</w:t>
      </w:r>
    </w:p>
    <w:p>
      <w:r>
        <w:rPr>
          <w:rFonts w:ascii="Calibri" w:hAnsi="Calibri" w:eastAsia="Calibri"/>
          <w:sz w:val="21"/>
        </w:rPr>
        <w:t>American Psychological Association. “What Makes Teams Work?” Monitor on Psychology, 2018. https://www.apa.org/monitor/2018/09/cover-teams</w:t>
      </w:r>
    </w:p>
    <w:p>
      <w:pPr>
        <w:pStyle w:val="Heading2"/>
      </w:pPr>
      <w:r>
        <w:t>Финальная проверка перед созданием skill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триггеры skill отделены от общих консультаций по менеджменту;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workflow краткий и не дублирует справочные материалы;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шаблоны задачи, статуса и ретроспективы единообразны;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подготовлены 12–20 тестов, включая неоднозначные и конфликтные случаи;</w:t>
      </w:r>
    </w:p>
    <w:p>
      <w:pPr>
        <w:pStyle w:val="MethodBullet"/>
      </w:pPr>
      <w:r>
        <w:rPr>
          <w:rFonts w:ascii="Calibri" w:hAnsi="Calibri" w:eastAsia="Calibri"/>
          <w:sz w:val="20"/>
        </w:rPr>
        <w:t>•  заданы метрики: полезность, полнота, отсутствие выдумок и экономия времени.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5F6B76"/>
        <w:sz w:val="17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 w:eastAsia="Calibri"/>
        <w:b/>
        <w:color w:val="5F6B76"/>
        <w:sz w:val="17"/>
      </w:rPr>
      <w:t>МЕТОДИЧЕСКОЕ РУКОВОДСТВО  |  КОМАНДНАЯ РАБОТА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hodBullet">
    <w:name w:val="Method Bullet"/>
    <w:basedOn w:val="Normal"/>
    <w:pPr>
      <w:spacing w:after="60"/>
      <w:ind w:left="540" w:hanging="271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